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F635A"/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Pr="00113E2F" w:rsidRDefault="00FF635A" w:rsidP="00113E2F">
      <w:pPr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hAnsi="Arial" w:cs="Arial"/>
          <w:b/>
          <w:bCs/>
        </w:rPr>
        <w:t xml:space="preserve">Oggetto: </w:t>
      </w:r>
      <w:r w:rsidRPr="00FF635A">
        <w:rPr>
          <w:rFonts w:ascii="Arial" w:eastAsia="Times New Roman" w:hAnsi="Arial" w:cs="Arial"/>
          <w:b/>
          <w:bCs/>
          <w:lang w:eastAsia="it-IT"/>
        </w:rPr>
        <w:t>Procedura negoziata per la realizzazione di servizi di monitoraggio e analisi in via continuativa dell’esposizione e del valore pubblicitario dei march</w:t>
      </w:r>
      <w:r>
        <w:rPr>
          <w:rFonts w:ascii="Arial" w:eastAsia="Times New Roman" w:hAnsi="Arial" w:cs="Arial"/>
          <w:b/>
          <w:bCs/>
          <w:lang w:eastAsia="it-IT"/>
        </w:rPr>
        <w:t xml:space="preserve">i del Coni e dei suoi sponsor. </w:t>
      </w:r>
      <w:r w:rsidRPr="00FF635A">
        <w:rPr>
          <w:rFonts w:ascii="Arial" w:eastAsia="Times New Roman" w:hAnsi="Arial" w:cs="Arial"/>
          <w:b/>
          <w:bCs/>
          <w:lang w:eastAsia="it-IT"/>
        </w:rPr>
        <w:t xml:space="preserve">CIG  </w:t>
      </w:r>
      <w:r w:rsidRPr="00FF635A">
        <w:rPr>
          <w:rFonts w:ascii="Arial" w:eastAsia="Times New Roman" w:hAnsi="Arial" w:cs="Arial"/>
          <w:b/>
          <w:color w:val="000000"/>
          <w:lang w:eastAsia="it-IT"/>
        </w:rPr>
        <w:t>7133399B11</w:t>
      </w:r>
      <w:r w:rsidRPr="00FF635A">
        <w:rPr>
          <w:rFonts w:ascii="Arial" w:eastAsia="Times New Roman" w:hAnsi="Arial" w:cs="Arial"/>
          <w:b/>
          <w:color w:val="000000"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FF635A">
        <w:rPr>
          <w:rFonts w:ascii="Arial" w:eastAsia="Times New Roman" w:hAnsi="Arial" w:cs="Arial"/>
          <w:b/>
          <w:bCs/>
          <w:lang w:eastAsia="it-IT"/>
        </w:rPr>
        <w:t>R.A. 039/17/PN</w:t>
      </w:r>
    </w:p>
    <w:p w:rsidR="00287085" w:rsidRPr="00182F1A" w:rsidRDefault="00287085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</w:r>
            <w:r w:rsidR="00113E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13E2F">
        <w:rPr>
          <w:rFonts w:ascii="Arial" w:hAnsi="Arial" w:cs="Arial"/>
          <w:sz w:val="20"/>
          <w:szCs w:val="20"/>
        </w:rPr>
      </w:r>
      <w:r w:rsidR="00113E2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13E2F">
        <w:rPr>
          <w:rFonts w:ascii="Arial" w:hAnsi="Arial" w:cs="Arial"/>
          <w:sz w:val="20"/>
          <w:szCs w:val="20"/>
        </w:rPr>
      </w:r>
      <w:r w:rsidR="00113E2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13E2F">
        <w:rPr>
          <w:rFonts w:ascii="Arial" w:hAnsi="Arial" w:cs="Arial"/>
          <w:sz w:val="20"/>
          <w:szCs w:val="20"/>
        </w:rPr>
      </w:r>
      <w:r w:rsidR="00113E2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13E2F">
        <w:rPr>
          <w:rFonts w:ascii="Arial" w:hAnsi="Arial" w:cs="Arial"/>
          <w:sz w:val="20"/>
          <w:szCs w:val="20"/>
        </w:rPr>
      </w:r>
      <w:r w:rsidR="00113E2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13E2F">
        <w:rPr>
          <w:rFonts w:ascii="Arial" w:hAnsi="Arial" w:cs="Arial"/>
          <w:sz w:val="20"/>
          <w:szCs w:val="20"/>
        </w:rPr>
      </w:r>
      <w:r w:rsidR="00113E2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13E2F">
        <w:rPr>
          <w:rFonts w:ascii="Arial" w:hAnsi="Arial" w:cs="Arial"/>
          <w:sz w:val="20"/>
          <w:szCs w:val="20"/>
        </w:rPr>
      </w:r>
      <w:r w:rsidR="00113E2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4B6D6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39A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8D7E1F"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13E2F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13E2F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 w:cryptProviderType="rsaFull" w:cryptAlgorithmClass="hash" w:cryptAlgorithmType="typeAny" w:cryptAlgorithmSid="4" w:cryptSpinCount="100000" w:hash="hHdaDz80utYjCM+IIpXP2BOZVWU=" w:salt="kYUatPkt0LD1TCRbF5iAW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2F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6D6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8551B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635A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858E-5A22-4274-89C1-87252113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12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Gaviano Maria</cp:lastModifiedBy>
  <cp:revision>44</cp:revision>
  <cp:lastPrinted>2016-05-25T07:51:00Z</cp:lastPrinted>
  <dcterms:created xsi:type="dcterms:W3CDTF">2016-04-29T14:01:00Z</dcterms:created>
  <dcterms:modified xsi:type="dcterms:W3CDTF">2017-07-06T10:04:00Z</dcterms:modified>
</cp:coreProperties>
</file>