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0081AE5C" w14:textId="6C59812F" w:rsidR="006F106B" w:rsidRPr="00FB2FD1" w:rsidRDefault="00D2676C" w:rsidP="00D2676C">
      <w:pPr>
        <w:autoSpaceDE w:val="0"/>
        <w:autoSpaceDN w:val="0"/>
        <w:adjustRightInd w:val="0"/>
        <w:spacing w:before="120" w:after="120" w:line="240" w:lineRule="auto"/>
        <w:rPr>
          <w:rFonts w:ascii="Arial" w:eastAsiaTheme="minorHAnsi" w:hAnsi="Arial" w:cs="Arial"/>
          <w:color w:val="000000"/>
          <w:sz w:val="23"/>
          <w:szCs w:val="23"/>
        </w:rPr>
      </w:pPr>
      <w:r w:rsidRPr="00D2676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negoziata, a seguito di avviso pubblico di indagine di mercato, ai sensi dell’art. 50, comma 1, lettera e), del </w:t>
      </w:r>
      <w:proofErr w:type="spellStart"/>
      <w:r w:rsidRPr="00D2676C">
        <w:rPr>
          <w:rFonts w:ascii="Arial" w:eastAsiaTheme="minorHAnsi" w:hAnsi="Arial" w:cs="Arial"/>
          <w:b/>
          <w:bCs/>
          <w:color w:val="000000"/>
          <w:sz w:val="23"/>
          <w:szCs w:val="23"/>
        </w:rPr>
        <w:t>D.Lgs</w:t>
      </w:r>
      <w:proofErr w:type="spellEnd"/>
      <w:r w:rsidRPr="00D2676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n. 36/2023 e nel rispetto dell’art. 50, comma 2, del D.Lgs 36/2023 per l’affidamento dell’incarico di revisione legale dei conti e di revisione della sostenibilità per il triennio 2025-2027 di Sport e salute S.p.A.</w:t>
      </w:r>
    </w:p>
    <w:p w14:paraId="7F7D4A1B" w14:textId="35F80D11" w:rsidR="003F4074" w:rsidRPr="00A95FA1" w:rsidRDefault="00AA0800" w:rsidP="00364424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EA40F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 </w:t>
      </w:r>
      <w:r w:rsidR="00D2676C" w:rsidRPr="00D2676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R.A. 009/25/PN - CIG B554A6A5BD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>codice 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4935CA59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 xml:space="preserve">, i seguenti requisiti di </w:t>
      </w:r>
      <w:r w:rsidR="00FF3889">
        <w:rPr>
          <w:rFonts w:ascii="Arial" w:hAnsi="Arial" w:cs="Arial"/>
          <w:sz w:val="20"/>
          <w:szCs w:val="20"/>
        </w:rPr>
        <w:t>capacità economico-finanziaria</w:t>
      </w:r>
      <w:r w:rsidRPr="003A2C14">
        <w:rPr>
          <w:rFonts w:ascii="Arial" w:hAnsi="Arial" w:cs="Arial"/>
          <w:sz w:val="20"/>
          <w:szCs w:val="20"/>
        </w:rPr>
        <w:t>, così come prescritti dal</w:t>
      </w:r>
      <w:r w:rsidR="00FF3889">
        <w:rPr>
          <w:rFonts w:ascii="Arial" w:hAnsi="Arial" w:cs="Arial"/>
          <w:sz w:val="20"/>
          <w:szCs w:val="20"/>
        </w:rPr>
        <w:t>la Lettera di invito</w:t>
      </w:r>
      <w:r w:rsidRPr="003A2C14">
        <w:rPr>
          <w:rFonts w:ascii="Arial" w:hAnsi="Arial" w:cs="Arial"/>
          <w:sz w:val="20"/>
          <w:szCs w:val="20"/>
        </w:rPr>
        <w:t>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529A4EA3" w14:textId="38AD361F" w:rsidR="00993475" w:rsidRDefault="00C1062A" w:rsidP="00EA40FC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E37CEA"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="00E37CEA" w:rsidRPr="003A2C14">
        <w:rPr>
          <w:rFonts w:ascii="Arial" w:hAnsi="Arial" w:cs="Arial"/>
          <w:sz w:val="20"/>
          <w:szCs w:val="20"/>
        </w:rPr>
      </w:r>
      <w:r w:rsidR="00E37CEA" w:rsidRPr="003A2C14">
        <w:rPr>
          <w:rFonts w:ascii="Arial" w:hAnsi="Arial" w:cs="Arial"/>
          <w:sz w:val="20"/>
          <w:szCs w:val="20"/>
        </w:rPr>
        <w:fldChar w:fldCharType="separate"/>
      </w:r>
      <w:r w:rsidR="00E37CEA" w:rsidRPr="003A2C14">
        <w:rPr>
          <w:rFonts w:ascii="Arial" w:hAnsi="Arial" w:cs="Arial"/>
          <w:sz w:val="20"/>
          <w:szCs w:val="20"/>
        </w:rPr>
        <w:fldChar w:fldCharType="end"/>
      </w:r>
      <w:r w:rsidR="00443ED2" w:rsidRPr="003A2C14">
        <w:rPr>
          <w:rFonts w:ascii="Arial" w:hAnsi="Arial" w:cs="Arial"/>
          <w:sz w:val="20"/>
          <w:szCs w:val="20"/>
        </w:rPr>
        <w:tab/>
      </w:r>
      <w:r w:rsidR="00443ED2" w:rsidRPr="003A2C14">
        <w:rPr>
          <w:rFonts w:ascii="Arial" w:hAnsi="Arial" w:cs="Arial"/>
          <w:b/>
          <w:sz w:val="20"/>
          <w:szCs w:val="20"/>
        </w:rPr>
        <w:t>Requisito</w:t>
      </w:r>
      <w:r w:rsidR="00FF3889">
        <w:rPr>
          <w:rFonts w:ascii="Arial" w:hAnsi="Arial" w:cs="Arial"/>
          <w:b/>
          <w:sz w:val="20"/>
          <w:szCs w:val="20"/>
        </w:rPr>
        <w:t xml:space="preserve"> di capacità economico-finanziaria</w:t>
      </w:r>
      <w:r w:rsidR="00443ED2" w:rsidRPr="003A2C14">
        <w:rPr>
          <w:rFonts w:ascii="Arial" w:hAnsi="Arial" w:cs="Arial"/>
          <w:b/>
          <w:sz w:val="20"/>
          <w:szCs w:val="20"/>
        </w:rPr>
        <w:t xml:space="preserve"> </w:t>
      </w:r>
      <w:r w:rsidR="004768B1" w:rsidRPr="003A2C14">
        <w:rPr>
          <w:rFonts w:ascii="Arial" w:hAnsi="Arial" w:cs="Arial"/>
          <w:b/>
          <w:sz w:val="20"/>
          <w:szCs w:val="20"/>
        </w:rPr>
        <w:t xml:space="preserve">di cui al Paragrafo </w:t>
      </w:r>
      <w:r w:rsidR="003F4074" w:rsidRPr="003A2C14">
        <w:rPr>
          <w:rFonts w:ascii="Arial" w:hAnsi="Arial" w:cs="Arial"/>
          <w:b/>
          <w:sz w:val="20"/>
          <w:szCs w:val="20"/>
        </w:rPr>
        <w:t>3</w:t>
      </w:r>
      <w:r w:rsidR="004768B1" w:rsidRPr="003A2C14">
        <w:rPr>
          <w:rFonts w:ascii="Arial" w:hAnsi="Arial" w:cs="Arial"/>
          <w:b/>
          <w:sz w:val="20"/>
          <w:szCs w:val="20"/>
        </w:rPr>
        <w:t>, del</w:t>
      </w:r>
      <w:r w:rsidR="00FF3889">
        <w:rPr>
          <w:rFonts w:ascii="Arial" w:hAnsi="Arial" w:cs="Arial"/>
          <w:b/>
          <w:sz w:val="20"/>
          <w:szCs w:val="20"/>
        </w:rPr>
        <w:t>la Lettera di invito.</w:t>
      </w:r>
    </w:p>
    <w:p w14:paraId="72FD2BB9" w14:textId="60B4C65E" w:rsidR="004D60CF" w:rsidRPr="003A2C14" w:rsidRDefault="00920FBB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</w:t>
      </w:r>
      <w:proofErr w:type="gramStart"/>
      <w:r w:rsidR="004D60CF" w:rsidRPr="003A2C14">
        <w:rPr>
          <w:rFonts w:ascii="Arial" w:hAnsi="Arial" w:cs="Arial"/>
          <w:sz w:val="20"/>
          <w:szCs w:val="20"/>
        </w:rPr>
        <w:t>predetti</w:t>
      </w:r>
      <w:proofErr w:type="gramEnd"/>
      <w:r w:rsidR="004D60CF" w:rsidRPr="003A2C14">
        <w:rPr>
          <w:rFonts w:ascii="Arial" w:hAnsi="Arial" w:cs="Arial"/>
          <w:sz w:val="20"/>
          <w:szCs w:val="20"/>
        </w:rPr>
        <w:t xml:space="preserve">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6B1985A9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36/2023,</w:t>
      </w:r>
      <w:r w:rsidR="00D267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solo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 xml:space="preserve">, c.d. “avvalimento premiale”, </w:t>
      </w:r>
      <w:r w:rsidR="004D60CF" w:rsidRPr="00894F74">
        <w:rPr>
          <w:rFonts w:ascii="Arial" w:hAnsi="Arial" w:cs="Arial"/>
          <w:sz w:val="20"/>
          <w:szCs w:val="20"/>
        </w:rPr>
        <w:t>di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>] i membri del consiglio di amministrazione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[nel caso di Società con sistema di amministrazione tradizionale e monistico] 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21061169">
    <w:abstractNumId w:val="4"/>
  </w:num>
  <w:num w:numId="2" w16cid:durableId="1089548647">
    <w:abstractNumId w:val="7"/>
  </w:num>
  <w:num w:numId="3" w16cid:durableId="435029563">
    <w:abstractNumId w:val="3"/>
  </w:num>
  <w:num w:numId="4" w16cid:durableId="40134963">
    <w:abstractNumId w:val="5"/>
  </w:num>
  <w:num w:numId="5" w16cid:durableId="1875344946">
    <w:abstractNumId w:val="6"/>
  </w:num>
  <w:num w:numId="6" w16cid:durableId="330834906">
    <w:abstractNumId w:val="0"/>
  </w:num>
  <w:num w:numId="7" w16cid:durableId="354187306">
    <w:abstractNumId w:val="2"/>
  </w:num>
  <w:num w:numId="8" w16cid:durableId="487861756">
    <w:abstractNumId w:val="8"/>
  </w:num>
  <w:num w:numId="9" w16cid:durableId="6505962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M55vJ5rMRXU8z92wQpn5ZK+LuBCHokf90IvWycEEJ2WsZY59tYFpmfqmjyG39AKQtDgdtnILEKYy6dCKagKttQ==" w:salt="vMqdIbSttu8JPPo8PGGd7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D7A2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01B7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2676C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3889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F77D-3775-469D-88A4-EC821A7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3415</Words>
  <Characters>19470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38</cp:revision>
  <cp:lastPrinted>2014-06-04T14:17:00Z</cp:lastPrinted>
  <dcterms:created xsi:type="dcterms:W3CDTF">2019-07-03T15:01:00Z</dcterms:created>
  <dcterms:modified xsi:type="dcterms:W3CDTF">2025-02-24T10:03:00Z</dcterms:modified>
</cp:coreProperties>
</file>