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206716E" w14:textId="77777777" w:rsidR="006F241A" w:rsidRPr="00080F5B" w:rsidRDefault="006F241A" w:rsidP="008660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080F5B">
        <w:rPr>
          <w:rFonts w:ascii="Arial" w:hAnsi="Arial" w:cs="Arial"/>
          <w:b/>
          <w:bCs/>
        </w:rPr>
        <w:t xml:space="preserve">Procedura </w:t>
      </w:r>
      <w:r>
        <w:rPr>
          <w:rFonts w:ascii="Arial" w:hAnsi="Arial" w:cs="Arial"/>
          <w:b/>
          <w:bCs/>
        </w:rPr>
        <w:t>aperta</w:t>
      </w:r>
      <w:r w:rsidRPr="00080F5B">
        <w:rPr>
          <w:rFonts w:ascii="Arial" w:hAnsi="Arial" w:cs="Arial"/>
          <w:b/>
          <w:bCs/>
        </w:rPr>
        <w:t xml:space="preserve"> per</w:t>
      </w:r>
      <w:r>
        <w:rPr>
          <w:rFonts w:ascii="Arial" w:hAnsi="Arial" w:cs="Arial"/>
          <w:b/>
          <w:bCs/>
        </w:rPr>
        <w:t xml:space="preserve"> l’affidamento del</w:t>
      </w:r>
      <w:r w:rsidRPr="00080F5B">
        <w:rPr>
          <w:rFonts w:ascii="Arial" w:hAnsi="Arial" w:cs="Arial"/>
          <w:b/>
          <w:bCs/>
        </w:rPr>
        <w:t xml:space="preserve">la fornitura in locazione, per 36 mesi, con opzione di acquisto finale, </w:t>
      </w:r>
      <w:r>
        <w:rPr>
          <w:rFonts w:ascii="Arial" w:hAnsi="Arial" w:cs="Arial"/>
          <w:b/>
          <w:bCs/>
        </w:rPr>
        <w:t>di</w:t>
      </w:r>
      <w:r w:rsidRPr="00080F5B">
        <w:rPr>
          <w:rFonts w:ascii="Arial" w:hAnsi="Arial" w:cs="Arial"/>
          <w:b/>
          <w:bCs/>
        </w:rPr>
        <w:t xml:space="preserve"> </w:t>
      </w:r>
      <w:r w:rsidRPr="00232A52">
        <w:rPr>
          <w:rFonts w:ascii="Arial" w:hAnsi="Arial" w:cs="Arial"/>
          <w:b/>
          <w:bCs/>
        </w:rPr>
        <w:t xml:space="preserve">Imac 24”, </w:t>
      </w:r>
      <w:r>
        <w:rPr>
          <w:rFonts w:ascii="Arial" w:hAnsi="Arial" w:cs="Arial"/>
          <w:b/>
          <w:bCs/>
        </w:rPr>
        <w:t>MacBook</w:t>
      </w:r>
      <w:r w:rsidRPr="00232A52">
        <w:rPr>
          <w:rFonts w:ascii="Arial" w:hAnsi="Arial" w:cs="Arial"/>
          <w:b/>
          <w:bCs/>
        </w:rPr>
        <w:t xml:space="preserve"> Pro 14”</w:t>
      </w:r>
      <w:r>
        <w:rPr>
          <w:rFonts w:ascii="Arial" w:hAnsi="Arial" w:cs="Arial"/>
          <w:b/>
          <w:bCs/>
        </w:rPr>
        <w:t xml:space="preserve">, </w:t>
      </w:r>
      <w:r w:rsidRPr="00080F5B">
        <w:rPr>
          <w:rFonts w:ascii="Arial" w:hAnsi="Arial" w:cs="Arial"/>
          <w:b/>
          <w:bCs/>
        </w:rPr>
        <w:t>Notebook 15.6</w:t>
      </w:r>
      <w:r>
        <w:rPr>
          <w:rFonts w:ascii="Arial" w:hAnsi="Arial" w:cs="Arial"/>
          <w:b/>
          <w:bCs/>
        </w:rPr>
        <w:t xml:space="preserve">, </w:t>
      </w:r>
      <w:r w:rsidRPr="00080F5B">
        <w:rPr>
          <w:rFonts w:ascii="Arial" w:hAnsi="Arial" w:cs="Arial"/>
          <w:b/>
          <w:bCs/>
        </w:rPr>
        <w:t xml:space="preserve">Notebook </w:t>
      </w:r>
      <w:r>
        <w:rPr>
          <w:rFonts w:ascii="Arial" w:hAnsi="Arial" w:cs="Arial"/>
          <w:b/>
          <w:bCs/>
        </w:rPr>
        <w:t xml:space="preserve">13,5”, </w:t>
      </w:r>
      <w:r w:rsidRPr="00080F5B">
        <w:rPr>
          <w:rFonts w:ascii="Arial" w:hAnsi="Arial" w:cs="Arial"/>
          <w:b/>
          <w:bCs/>
        </w:rPr>
        <w:t xml:space="preserve">Notebook </w:t>
      </w:r>
      <w:r>
        <w:rPr>
          <w:rFonts w:ascii="Arial" w:hAnsi="Arial" w:cs="Arial"/>
          <w:b/>
          <w:bCs/>
        </w:rPr>
        <w:t>14”</w:t>
      </w:r>
      <w:r w:rsidRPr="00080F5B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  <w:b/>
          <w:bCs/>
        </w:rPr>
        <w:t xml:space="preserve">, Monitor 27” e </w:t>
      </w:r>
      <w:r w:rsidRPr="001668E7">
        <w:rPr>
          <w:rFonts w:ascii="Arial" w:hAnsi="Arial" w:cs="Arial"/>
          <w:b/>
          <w:bCs/>
        </w:rPr>
        <w:t>docking station</w:t>
      </w:r>
      <w:r>
        <w:rPr>
          <w:rFonts w:ascii="Arial" w:hAnsi="Arial" w:cs="Arial"/>
          <w:b/>
          <w:bCs/>
        </w:rPr>
        <w:t xml:space="preserve"> con Kit Mouse e Tastiera.</w:t>
      </w:r>
    </w:p>
    <w:p w14:paraId="6375C13B" w14:textId="3447D49B" w:rsidR="0074712C" w:rsidRPr="0074712C" w:rsidRDefault="0074712C" w:rsidP="0074712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bCs/>
        </w:rPr>
      </w:pPr>
      <w:r w:rsidRPr="0074712C">
        <w:rPr>
          <w:rFonts w:ascii="Arial" w:hAnsi="Arial" w:cs="Arial"/>
          <w:b/>
          <w:bCs/>
        </w:rPr>
        <w:t xml:space="preserve">CIG: </w:t>
      </w:r>
      <w:r w:rsidR="008660AC" w:rsidRPr="008660AC">
        <w:rPr>
          <w:rFonts w:ascii="Arial" w:hAnsi="Arial" w:cs="Arial"/>
          <w:b/>
          <w:bCs/>
        </w:rPr>
        <w:t>932124350F</w:t>
      </w:r>
    </w:p>
    <w:p w14:paraId="6796DF40" w14:textId="4009D670" w:rsidR="00287085" w:rsidRPr="00182F1A" w:rsidRDefault="0074712C" w:rsidP="0074712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 w:rsidRPr="0074712C">
        <w:rPr>
          <w:rFonts w:ascii="Arial" w:hAnsi="Arial" w:cs="Arial"/>
          <w:b/>
          <w:bCs/>
        </w:rPr>
        <w:t xml:space="preserve">R.A. </w:t>
      </w:r>
      <w:r w:rsidR="006F241A">
        <w:rPr>
          <w:rFonts w:ascii="Arial" w:hAnsi="Arial" w:cs="Arial"/>
          <w:b/>
          <w:bCs/>
        </w:rPr>
        <w:t>148</w:t>
      </w:r>
      <w:r w:rsidRPr="0074712C">
        <w:rPr>
          <w:rFonts w:ascii="Arial" w:hAnsi="Arial" w:cs="Arial"/>
          <w:b/>
          <w:bCs/>
        </w:rPr>
        <w:t>/22/PA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16218CC7" w:rsidR="00AA6082" w:rsidRDefault="00EC389E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 xml:space="preserve"> </w:t>
      </w:r>
      <w:r w:rsidR="00E76A93"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="00E76A93"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</w:r>
            <w:r w:rsidR="000137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</w:r>
            <w:r w:rsidR="000137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7777777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37D1">
        <w:rPr>
          <w:rFonts w:ascii="Arial" w:hAnsi="Arial" w:cs="Arial"/>
          <w:sz w:val="20"/>
          <w:szCs w:val="20"/>
        </w:rPr>
      </w:r>
      <w:r w:rsidR="000137D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37D1">
        <w:rPr>
          <w:rFonts w:ascii="Arial" w:hAnsi="Arial" w:cs="Arial"/>
          <w:sz w:val="20"/>
          <w:szCs w:val="20"/>
        </w:rPr>
      </w:r>
      <w:r w:rsidR="000137D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2C74E4EC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0285E8D6" w:rsidTr="00E504F2">
        <w:tc>
          <w:tcPr>
            <w:tcW w:w="3657" w:type="dxa"/>
            <w:shd w:val="clear" w:color="auto" w:fill="00529E"/>
            <w:vAlign w:val="center"/>
          </w:tcPr>
          <w:p w14:paraId="5DC8A99B" w14:textId="77F09F34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8161739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</w:rPr>
              <w:t>Quota %</w:t>
            </w:r>
          </w:p>
        </w:tc>
      </w:tr>
      <w:tr w:rsidR="00E504F2" w:rsidRPr="005036E4" w14:paraId="6732FB43" w14:textId="47BEC9A6" w:rsidTr="00E504F2">
        <w:trPr>
          <w:trHeight w:val="566"/>
        </w:trPr>
        <w:tc>
          <w:tcPr>
            <w:tcW w:w="3657" w:type="dxa"/>
          </w:tcPr>
          <w:p w14:paraId="2D56457D" w14:textId="3A5E9C3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6D1B34A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2E76FD6A" w:rsidTr="00E504F2">
        <w:trPr>
          <w:trHeight w:val="566"/>
        </w:trPr>
        <w:tc>
          <w:tcPr>
            <w:tcW w:w="3657" w:type="dxa"/>
          </w:tcPr>
          <w:p w14:paraId="29DE19D9" w14:textId="62206A86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458F8891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62FB78F5" w:rsidTr="00E504F2">
        <w:trPr>
          <w:trHeight w:val="566"/>
        </w:trPr>
        <w:tc>
          <w:tcPr>
            <w:tcW w:w="3657" w:type="dxa"/>
          </w:tcPr>
          <w:p w14:paraId="42F16D8C" w14:textId="329A340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6564B187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52F97254" w:rsidTr="00E504F2">
        <w:trPr>
          <w:trHeight w:val="566"/>
        </w:trPr>
        <w:tc>
          <w:tcPr>
            <w:tcW w:w="3657" w:type="dxa"/>
          </w:tcPr>
          <w:p w14:paraId="1B35157D" w14:textId="03F5BE8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42625F93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1BCCDBE1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6C5DFD3F" w:rsidTr="002466C1">
        <w:tc>
          <w:tcPr>
            <w:tcW w:w="3657" w:type="dxa"/>
            <w:shd w:val="clear" w:color="auto" w:fill="00529E"/>
            <w:vAlign w:val="center"/>
          </w:tcPr>
          <w:p w14:paraId="1D330C95" w14:textId="445EE04B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5D3599E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13BF0FB4" w:rsidTr="002466C1">
        <w:trPr>
          <w:trHeight w:val="566"/>
        </w:trPr>
        <w:tc>
          <w:tcPr>
            <w:tcW w:w="3657" w:type="dxa"/>
          </w:tcPr>
          <w:p w14:paraId="1579A4E5" w14:textId="5E428FA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5283577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435977C" w:rsidTr="002466C1">
        <w:trPr>
          <w:trHeight w:val="566"/>
        </w:trPr>
        <w:tc>
          <w:tcPr>
            <w:tcW w:w="3657" w:type="dxa"/>
          </w:tcPr>
          <w:p w14:paraId="345D0ABC" w14:textId="31BBA81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0BFFED0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094E4B09" w:rsidTr="002466C1">
        <w:trPr>
          <w:trHeight w:val="566"/>
        </w:trPr>
        <w:tc>
          <w:tcPr>
            <w:tcW w:w="3657" w:type="dxa"/>
          </w:tcPr>
          <w:p w14:paraId="1F517EC2" w14:textId="73DD0BF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6AE90AC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50F5FFEF" w:rsidTr="002466C1">
        <w:trPr>
          <w:trHeight w:val="566"/>
        </w:trPr>
        <w:tc>
          <w:tcPr>
            <w:tcW w:w="3657" w:type="dxa"/>
          </w:tcPr>
          <w:p w14:paraId="3F65DA54" w14:textId="671A425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1416FD0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2C475C20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234FC75F" w:rsidTr="002466C1">
        <w:tc>
          <w:tcPr>
            <w:tcW w:w="3657" w:type="dxa"/>
            <w:shd w:val="clear" w:color="auto" w:fill="00529E"/>
            <w:vAlign w:val="center"/>
          </w:tcPr>
          <w:p w14:paraId="70932507" w14:textId="728E9024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4DE69E32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3D22E51E" w:rsidTr="002466C1">
        <w:trPr>
          <w:trHeight w:val="566"/>
        </w:trPr>
        <w:tc>
          <w:tcPr>
            <w:tcW w:w="3657" w:type="dxa"/>
          </w:tcPr>
          <w:p w14:paraId="77368ECC" w14:textId="6420210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16AE709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48E279E1" w:rsidTr="002466C1">
        <w:trPr>
          <w:trHeight w:val="566"/>
        </w:trPr>
        <w:tc>
          <w:tcPr>
            <w:tcW w:w="3657" w:type="dxa"/>
          </w:tcPr>
          <w:p w14:paraId="420F02FF" w14:textId="7968483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857519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6F9FDB3C" w:rsidTr="002466C1">
        <w:trPr>
          <w:trHeight w:val="566"/>
        </w:trPr>
        <w:tc>
          <w:tcPr>
            <w:tcW w:w="3657" w:type="dxa"/>
          </w:tcPr>
          <w:p w14:paraId="0E21153C" w14:textId="3E99921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0DF448F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18EE0DC8" w:rsidTr="002466C1">
        <w:trPr>
          <w:trHeight w:val="566"/>
        </w:trPr>
        <w:tc>
          <w:tcPr>
            <w:tcW w:w="3657" w:type="dxa"/>
          </w:tcPr>
          <w:p w14:paraId="0B3A5178" w14:textId="3C102B6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C5D0DF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77777777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[per l’operatore economico ammesso al concordato preventivo con continuità aziendale di cui all’art. 186 bis del R.D. 16 marzo 1942, n. 267] di non partecipare alla gara quale mandatario di un raggruppamento temporaneo di imprese e che le altre imprese aderenti al raggruppamento non sono assoggettate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1446A18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23E45F8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A700260" w:rsidR="00851076" w:rsidRDefault="00851076" w:rsidP="004F77F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8724B7" w:rsidRPr="004A6F29">
        <w:rPr>
          <w:rFonts w:ascii="Arial" w:hAnsi="Arial" w:cs="Arial"/>
          <w:sz w:val="20"/>
          <w:szCs w:val="20"/>
        </w:rPr>
        <w:t>partecipanti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1821383A" w14:textId="77777777" w:rsidR="001E1E17" w:rsidRPr="000500AE" w:rsidRDefault="001E1E17" w:rsidP="001E1E1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4" w:name="_Hlk109658107"/>
      <w:r w:rsidRPr="005E42DA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5E42DA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5E42DA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propri dipendenti e collaboratori, </w:t>
      </w:r>
      <w:r w:rsidRPr="005E42DA">
        <w:rPr>
          <w:rFonts w:ascii="Arial" w:hAnsi="Arial" w:cs="Arial"/>
          <w:sz w:val="20"/>
          <w:szCs w:val="20"/>
        </w:rPr>
        <w:lastRenderedPageBreak/>
        <w:t>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5E42DA">
        <w:rPr>
          <w:rFonts w:ascii="Arial" w:hAnsi="Arial" w:cs="Arial"/>
          <w:sz w:val="20"/>
          <w:szCs w:val="20"/>
        </w:rPr>
        <w:t>, pena la risoluzione del contratto;</w:t>
      </w:r>
    </w:p>
    <w:bookmarkEnd w:id="4"/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lastRenderedPageBreak/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37D1">
        <w:rPr>
          <w:rFonts w:ascii="Arial" w:hAnsi="Arial" w:cs="Arial"/>
          <w:sz w:val="20"/>
          <w:szCs w:val="20"/>
        </w:rPr>
      </w:r>
      <w:r w:rsidR="000137D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37D1">
        <w:rPr>
          <w:rFonts w:ascii="Arial" w:hAnsi="Arial" w:cs="Arial"/>
          <w:sz w:val="20"/>
          <w:szCs w:val="20"/>
        </w:rPr>
      </w:r>
      <w:r w:rsidR="000137D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4F77F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089348C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1FD8" w14:textId="77777777" w:rsidR="00793A85" w:rsidRDefault="00793A85" w:rsidP="00A6104B">
      <w:pPr>
        <w:spacing w:after="0" w:line="240" w:lineRule="auto"/>
      </w:pPr>
      <w:r>
        <w:separator/>
      </w:r>
    </w:p>
  </w:endnote>
  <w:endnote w:type="continuationSeparator" w:id="0">
    <w:p w14:paraId="20C8B162" w14:textId="77777777" w:rsidR="00793A85" w:rsidRDefault="00793A8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4F77F4" w:rsidRPr="00F900A4" w:rsidRDefault="004F77F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4F77F4" w:rsidRPr="0074638C" w:rsidRDefault="004F77F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ED8C" w14:textId="77777777" w:rsidR="00793A85" w:rsidRDefault="00793A85" w:rsidP="00A6104B">
      <w:pPr>
        <w:spacing w:after="0" w:line="240" w:lineRule="auto"/>
      </w:pPr>
      <w:r>
        <w:separator/>
      </w:r>
    </w:p>
  </w:footnote>
  <w:footnote w:type="continuationSeparator" w:id="0">
    <w:p w14:paraId="422B245A" w14:textId="77777777" w:rsidR="00793A85" w:rsidRDefault="00793A85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4F77F4" w:rsidRPr="00E726DB" w:rsidRDefault="004F77F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4F77F4" w:rsidRPr="002618E4" w:rsidRDefault="004F77F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4F77F4" w:rsidRPr="00625D37" w:rsidRDefault="004F77F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tNghT444BzrvtPz0UM19LP10Oi/sb7jtCrnEiYtSSnftSDw41rVpJeFEVWXdk8RtXC+2+JoXYPumI/XD0o/htg==" w:salt="Nqyj5EJceHLuSZc0nxog8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137D1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1E17"/>
    <w:rsid w:val="001E3F7A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627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4F77F4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55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1A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4712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3A85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0671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60A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C7C90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712B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389E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14</cp:revision>
  <cp:lastPrinted>2016-05-25T07:51:00Z</cp:lastPrinted>
  <dcterms:created xsi:type="dcterms:W3CDTF">2022-02-07T08:31:00Z</dcterms:created>
  <dcterms:modified xsi:type="dcterms:W3CDTF">2022-07-25T14:15:00Z</dcterms:modified>
</cp:coreProperties>
</file>