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98141" w14:textId="1AC3409D" w:rsidR="002D7512" w:rsidRPr="002D7512" w:rsidRDefault="002D7512" w:rsidP="002D7512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2D7512">
        <w:rPr>
          <w:rFonts w:ascii="Arial" w:hAnsi="Arial" w:cs="Arial"/>
          <w:b/>
          <w:bCs/>
        </w:rPr>
        <w:t>PROCEDURA TELEMATICA APERTA PER LA STIPULA DI UNA POLIZZA COLLETTIVA DI RIMBORSO SPESE SANITARIE A FAVORE DEL PERSONALE DIPENDENTE DI SPORT E SALUTE S.P.A., CONINET, NADO, PARCO DEL FORO ITALICO (PFI), COMITATO ITALIANO PARAOLIMPICO (CIP), FEDERAZIONI SPORTIVE NAZIONALI E FSN PARALIMPICHE DISCIPLINE SPORTIVE ASSOCIATE CHE ADOTTANO IL CCNL SPORT E SALUTE</w:t>
      </w:r>
    </w:p>
    <w:p w14:paraId="54DA19B5" w14:textId="77777777" w:rsidR="002D7512" w:rsidRDefault="002D7512" w:rsidP="002D7512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2D7512">
        <w:rPr>
          <w:rFonts w:ascii="Arial" w:hAnsi="Arial" w:cs="Arial"/>
          <w:b/>
          <w:bCs/>
        </w:rPr>
        <w:t>R.A. 01_24_AD</w:t>
      </w:r>
    </w:p>
    <w:p w14:paraId="1711E0EA" w14:textId="2771D3E1" w:rsidR="00096C38" w:rsidRPr="00096C38" w:rsidRDefault="00096C38" w:rsidP="002D7512">
      <w:pPr>
        <w:autoSpaceDE w:val="0"/>
        <w:autoSpaceDN w:val="0"/>
        <w:adjustRightInd w:val="0"/>
        <w:spacing w:before="120" w:line="280" w:lineRule="exact"/>
        <w:ind w:right="11"/>
        <w:jc w:val="center"/>
        <w:rPr>
          <w:rFonts w:ascii="Arial" w:hAnsi="Arial" w:cs="Arial"/>
          <w:b/>
          <w:caps/>
        </w:rPr>
      </w:pPr>
      <w:r w:rsidRPr="00096C38">
        <w:rPr>
          <w:rFonts w:ascii="Arial" w:hAnsi="Arial" w:cs="Arial"/>
          <w:b/>
          <w:u w:val="single"/>
        </w:rPr>
        <w:t>VERBALE 1° RIUNIONE COMMISSIONE GIUDICATRICE</w:t>
      </w:r>
    </w:p>
    <w:p w14:paraId="2E8F0FAA" w14:textId="0767CC38" w:rsidR="00096C38" w:rsidRDefault="00096C38" w:rsidP="002D7512">
      <w:pPr>
        <w:spacing w:before="120"/>
        <w:ind w:right="1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Con Bando di gara </w:t>
      </w:r>
      <w:r w:rsidR="00837EC5">
        <w:rPr>
          <w:rFonts w:ascii="Arial" w:hAnsi="Arial" w:cs="Arial"/>
        </w:rPr>
        <w:t>del</w:t>
      </w:r>
      <w:r w:rsidRPr="00096C38">
        <w:rPr>
          <w:rFonts w:ascii="Arial" w:hAnsi="Arial" w:cs="Arial"/>
        </w:rPr>
        <w:t xml:space="preserve"> </w:t>
      </w:r>
      <w:r w:rsidR="002D7512">
        <w:rPr>
          <w:rFonts w:ascii="Arial" w:hAnsi="Arial" w:cs="Arial"/>
        </w:rPr>
        <w:t xml:space="preserve">22 </w:t>
      </w:r>
      <w:proofErr w:type="gramStart"/>
      <w:r w:rsidR="002D7512">
        <w:rPr>
          <w:rFonts w:ascii="Arial" w:hAnsi="Arial" w:cs="Arial"/>
        </w:rPr>
        <w:t>Febbraio</w:t>
      </w:r>
      <w:proofErr w:type="gramEnd"/>
      <w:r w:rsidR="002D7512">
        <w:rPr>
          <w:rFonts w:ascii="Arial" w:hAnsi="Arial" w:cs="Arial"/>
        </w:rPr>
        <w:t xml:space="preserve"> 2024</w:t>
      </w:r>
      <w:r w:rsidR="00E227BC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>è stata indetta una procedura</w:t>
      </w:r>
      <w:bookmarkStart w:id="0" w:name="_Hlk147755712"/>
      <w:r w:rsidRPr="00096C38">
        <w:rPr>
          <w:rFonts w:ascii="Arial" w:hAnsi="Arial" w:cs="Arial"/>
        </w:rPr>
        <w:t xml:space="preserve"> aperta, ai sensi dell’art. </w:t>
      </w:r>
      <w:r w:rsidR="003A2A5D">
        <w:rPr>
          <w:rFonts w:ascii="Arial" w:hAnsi="Arial" w:cs="Arial"/>
        </w:rPr>
        <w:t>71</w:t>
      </w:r>
      <w:r w:rsidRPr="00096C38">
        <w:rPr>
          <w:rFonts w:ascii="Arial" w:hAnsi="Arial" w:cs="Arial"/>
        </w:rPr>
        <w:t xml:space="preserve"> </w:t>
      </w:r>
      <w:bookmarkEnd w:id="0"/>
      <w:r w:rsidRPr="00096C38">
        <w:rPr>
          <w:rFonts w:ascii="Arial" w:hAnsi="Arial" w:cs="Arial"/>
        </w:rPr>
        <w:t xml:space="preserve">del </w:t>
      </w:r>
      <w:proofErr w:type="spellStart"/>
      <w:r w:rsidRPr="00096C38">
        <w:rPr>
          <w:rFonts w:ascii="Arial" w:hAnsi="Arial" w:cs="Arial"/>
        </w:rPr>
        <w:t>D.Lgs.</w:t>
      </w:r>
      <w:proofErr w:type="spellEnd"/>
      <w:r w:rsidRPr="00096C38">
        <w:rPr>
          <w:rFonts w:ascii="Arial" w:hAnsi="Arial" w:cs="Arial"/>
        </w:rPr>
        <w:t xml:space="preserve"> </w:t>
      </w:r>
      <w:r w:rsidR="003A2A5D">
        <w:rPr>
          <w:rFonts w:ascii="Arial" w:hAnsi="Arial" w:cs="Arial"/>
        </w:rPr>
        <w:t>36</w:t>
      </w:r>
      <w:r w:rsidRPr="00096C38">
        <w:rPr>
          <w:rFonts w:ascii="Arial" w:hAnsi="Arial" w:cs="Arial"/>
        </w:rPr>
        <w:t>/20</w:t>
      </w:r>
      <w:r w:rsidR="003A2A5D">
        <w:rPr>
          <w:rFonts w:ascii="Arial" w:hAnsi="Arial" w:cs="Arial"/>
        </w:rPr>
        <w:t>23</w:t>
      </w:r>
      <w:r w:rsidRPr="00096C38">
        <w:rPr>
          <w:rFonts w:ascii="Arial" w:hAnsi="Arial" w:cs="Arial"/>
        </w:rPr>
        <w:t>, per l'affidamento delle prestazioni in oggetto, di importo pari a €</w:t>
      </w:r>
      <w:r w:rsidR="002D7512">
        <w:rPr>
          <w:rFonts w:ascii="Arial" w:hAnsi="Arial" w:cs="Arial"/>
        </w:rPr>
        <w:t xml:space="preserve"> </w:t>
      </w:r>
      <w:r w:rsidR="002D7512" w:rsidRPr="002D7512">
        <w:rPr>
          <w:rFonts w:ascii="Arial" w:hAnsi="Arial" w:cs="Arial"/>
        </w:rPr>
        <w:t>7.317.210,</w:t>
      </w:r>
      <w:proofErr w:type="gramStart"/>
      <w:r w:rsidR="002D7512" w:rsidRPr="002D7512">
        <w:rPr>
          <w:rFonts w:ascii="Arial" w:hAnsi="Arial" w:cs="Arial"/>
        </w:rPr>
        <w:t>00</w:t>
      </w:r>
      <w:r w:rsidRPr="00096C38">
        <w:rPr>
          <w:rFonts w:ascii="Arial" w:hAnsi="Arial" w:cs="Arial"/>
        </w:rPr>
        <w:t xml:space="preserve"> </w:t>
      </w:r>
      <w:r w:rsidR="00E10A52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>+</w:t>
      </w:r>
      <w:proofErr w:type="gramEnd"/>
      <w:r w:rsidRPr="00096C38">
        <w:rPr>
          <w:rFonts w:ascii="Arial" w:hAnsi="Arial" w:cs="Arial"/>
        </w:rPr>
        <w:t xml:space="preserve"> IVA </w:t>
      </w:r>
      <w:r w:rsidR="002D7512">
        <w:rPr>
          <w:rFonts w:ascii="Arial" w:hAnsi="Arial" w:cs="Arial"/>
        </w:rPr>
        <w:t xml:space="preserve"> con il </w:t>
      </w:r>
      <w:r w:rsidR="002D7512" w:rsidRPr="002D7512">
        <w:rPr>
          <w:rFonts w:ascii="Arial" w:hAnsi="Arial" w:cs="Arial"/>
        </w:rPr>
        <w:t xml:space="preserve">2% </w:t>
      </w:r>
      <w:r w:rsidR="002D7512">
        <w:rPr>
          <w:rFonts w:ascii="Arial" w:hAnsi="Arial" w:cs="Arial"/>
        </w:rPr>
        <w:t xml:space="preserve">previsto </w:t>
      </w:r>
      <w:r w:rsidR="002D7512" w:rsidRPr="002D7512">
        <w:rPr>
          <w:rFonts w:ascii="Arial" w:hAnsi="Arial" w:cs="Arial"/>
        </w:rPr>
        <w:t>per costi della manodopera</w:t>
      </w:r>
      <w:bookmarkStart w:id="1" w:name="_Hlk147745146"/>
      <w:bookmarkStart w:id="2" w:name="_Hlk147747516"/>
      <w:r w:rsidR="002D7512">
        <w:rPr>
          <w:rFonts w:ascii="Arial" w:hAnsi="Arial" w:cs="Arial"/>
        </w:rPr>
        <w:t>,</w:t>
      </w:r>
      <w:bookmarkEnd w:id="1"/>
      <w:bookmarkEnd w:id="2"/>
      <w:r w:rsidR="000C4C7B">
        <w:rPr>
          <w:rFonts w:ascii="Arial" w:hAnsi="Arial" w:cs="Arial"/>
        </w:rPr>
        <w:t xml:space="preserve"> </w:t>
      </w:r>
      <w:r w:rsidRPr="00096C38">
        <w:rPr>
          <w:rFonts w:ascii="Arial" w:hAnsi="Arial" w:cs="Arial"/>
        </w:rPr>
        <w:t>da aggiudicare con il criterio dell’offerta economicamente più vantaggiosa, individuata sulla base del miglior rapporto qualità prezzo, secondo la seguente ripartizione dei punteggi:</w:t>
      </w:r>
    </w:p>
    <w:p w14:paraId="4E3E6448" w14:textId="77777777" w:rsidR="002D7512" w:rsidRPr="00096C38" w:rsidRDefault="002D7512" w:rsidP="002D7512">
      <w:pPr>
        <w:spacing w:before="120"/>
        <w:ind w:right="11"/>
        <w:jc w:val="both"/>
        <w:rPr>
          <w:rFonts w:ascii="Arial" w:hAnsi="Arial" w:cs="Arial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911"/>
      </w:tblGrid>
      <w:tr w:rsidR="00096C38" w:rsidRPr="00096C38" w14:paraId="588CAA37" w14:textId="77777777" w:rsidTr="00096C38">
        <w:trPr>
          <w:trHeight w:val="375"/>
        </w:trPr>
        <w:tc>
          <w:tcPr>
            <w:tcW w:w="2421" w:type="pct"/>
            <w:shd w:val="clear" w:color="auto" w:fill="D9D9D9" w:themeFill="background1" w:themeFillShade="D9"/>
            <w:noWrap/>
            <w:vAlign w:val="center"/>
          </w:tcPr>
          <w:p w14:paraId="4158BCD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451FE12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bCs/>
                <w:smallCaps/>
              </w:rPr>
            </w:pPr>
            <w:r w:rsidRPr="00096C38">
              <w:rPr>
                <w:rFonts w:ascii="Arial" w:hAnsi="Arial" w:cs="Arial"/>
                <w:b/>
                <w:bCs/>
                <w:smallCaps/>
              </w:rPr>
              <w:t>punteggio massimo</w:t>
            </w:r>
          </w:p>
        </w:tc>
      </w:tr>
      <w:tr w:rsidR="00096C38" w:rsidRPr="00096C38" w14:paraId="1F7432D0" w14:textId="77777777" w:rsidTr="00096C38">
        <w:trPr>
          <w:trHeight w:val="278"/>
        </w:trPr>
        <w:tc>
          <w:tcPr>
            <w:tcW w:w="2421" w:type="pct"/>
            <w:shd w:val="clear" w:color="auto" w:fill="auto"/>
            <w:noWrap/>
            <w:vAlign w:val="center"/>
          </w:tcPr>
          <w:p w14:paraId="276AEA3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</w:rPr>
            </w:pPr>
            <w:r w:rsidRPr="00096C38">
              <w:rPr>
                <w:rFonts w:ascii="Arial" w:hAnsi="Arial" w:cs="Arial"/>
              </w:rPr>
              <w:t>Offerta tecnica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8A2A3" w14:textId="026F79B8" w:rsidR="00096C38" w:rsidRPr="00096C38" w:rsidRDefault="002D7512" w:rsidP="00096C38">
            <w:pPr>
              <w:keepNext/>
              <w:spacing w:before="120"/>
              <w:ind w:right="1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</w:t>
            </w:r>
          </w:p>
        </w:tc>
      </w:tr>
      <w:tr w:rsidR="00096C38" w:rsidRPr="00096C38" w14:paraId="217510EE" w14:textId="77777777" w:rsidTr="00096C38">
        <w:trPr>
          <w:trHeight w:val="265"/>
        </w:trPr>
        <w:tc>
          <w:tcPr>
            <w:tcW w:w="2421" w:type="pct"/>
            <w:shd w:val="clear" w:color="auto" w:fill="auto"/>
            <w:noWrap/>
            <w:vAlign w:val="center"/>
          </w:tcPr>
          <w:p w14:paraId="47CE291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</w:rPr>
            </w:pPr>
            <w:r w:rsidRPr="00096C38">
              <w:rPr>
                <w:rFonts w:ascii="Arial" w:hAnsi="Arial" w:cs="Arial"/>
              </w:rPr>
              <w:t>Offerta economica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BDEF4" w14:textId="35FFB5A7" w:rsidR="00096C38" w:rsidRPr="00096C38" w:rsidRDefault="002D7512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</w:tr>
      <w:tr w:rsidR="00096C38" w:rsidRPr="00096C38" w14:paraId="5F818738" w14:textId="77777777" w:rsidTr="00096C38">
        <w:trPr>
          <w:trHeight w:val="337"/>
        </w:trPr>
        <w:tc>
          <w:tcPr>
            <w:tcW w:w="2421" w:type="pct"/>
            <w:shd w:val="clear" w:color="auto" w:fill="D9D9D9" w:themeFill="background1" w:themeFillShade="D9"/>
            <w:noWrap/>
            <w:vAlign w:val="center"/>
          </w:tcPr>
          <w:p w14:paraId="23174F95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smallCaps/>
              </w:rPr>
            </w:pPr>
            <w:r w:rsidRPr="00096C38">
              <w:rPr>
                <w:rFonts w:ascii="Arial" w:hAnsi="Arial" w:cs="Arial"/>
                <w:smallCaps/>
              </w:rPr>
              <w:t>totale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054C7CB" w14:textId="77777777" w:rsidR="00096C38" w:rsidRPr="00096C38" w:rsidRDefault="00096C38" w:rsidP="00096C38">
            <w:pPr>
              <w:keepNext/>
              <w:spacing w:before="120"/>
              <w:ind w:right="11"/>
              <w:rPr>
                <w:rFonts w:ascii="Arial" w:hAnsi="Arial" w:cs="Arial"/>
                <w:b/>
                <w:smallCaps/>
              </w:rPr>
            </w:pPr>
            <w:r w:rsidRPr="00096C38">
              <w:rPr>
                <w:rFonts w:ascii="Arial" w:hAnsi="Arial" w:cs="Arial"/>
                <w:b/>
                <w:smallCaps/>
              </w:rPr>
              <w:t>100</w:t>
            </w:r>
          </w:p>
        </w:tc>
      </w:tr>
    </w:tbl>
    <w:p w14:paraId="072D4C55" w14:textId="77777777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47F4DBAE" w14:textId="6E6F314A" w:rsidR="00096C38" w:rsidRDefault="00E72F6E" w:rsidP="00096C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96C38" w:rsidRPr="00096C38">
        <w:rPr>
          <w:rFonts w:ascii="Arial" w:hAnsi="Arial" w:cs="Arial"/>
        </w:rPr>
        <w:t xml:space="preserve">a procedura si è interamente svolta tramite il sistema informatico per le procedure telematiche di acquisto (“Portale fornitori”), accessibile all’indirizzo </w:t>
      </w:r>
      <w:hyperlink r:id="rId8" w:history="1">
        <w:r w:rsidRPr="00884523">
          <w:rPr>
            <w:rStyle w:val="Collegamentoipertestuale"/>
            <w:rFonts w:ascii="Arial" w:hAnsi="Arial" w:cs="Arial"/>
          </w:rPr>
          <w:t>https://fornitori.sportesalute.eu</w:t>
        </w:r>
      </w:hyperlink>
      <w:r w:rsidR="00096C38" w:rsidRPr="00096C38">
        <w:rPr>
          <w:rFonts w:ascii="Arial" w:hAnsi="Arial" w:cs="Arial"/>
        </w:rPr>
        <w:t>, mediante lo strumento della RDO on line.</w:t>
      </w:r>
    </w:p>
    <w:p w14:paraId="39697277" w14:textId="0A4C436A" w:rsidR="00BB30BD" w:rsidRPr="00096C38" w:rsidRDefault="00BB30BD" w:rsidP="00096C38">
      <w:pPr>
        <w:spacing w:before="120"/>
        <w:jc w:val="both"/>
        <w:rPr>
          <w:rFonts w:ascii="Arial" w:hAnsi="Arial" w:cs="Arial"/>
        </w:rPr>
      </w:pPr>
      <w:bookmarkStart w:id="3" w:name="_Hlk149587942"/>
      <w:r w:rsidRPr="00BB30BD">
        <w:rPr>
          <w:rFonts w:ascii="Arial" w:hAnsi="Arial" w:cs="Arial"/>
        </w:rPr>
        <w:t xml:space="preserve">Così come indicato nel Disciplinare di gara, le operazioni di gara si sono svolte con applicazione del principio della c.d. "inversione procedimentale", e pertanto, si procede prima alla valutazione dell’offerta tecnica, poi alla </w:t>
      </w:r>
      <w:r w:rsidR="00837EC5" w:rsidRPr="00BB30BD">
        <w:rPr>
          <w:rFonts w:ascii="Arial" w:hAnsi="Arial" w:cs="Arial"/>
        </w:rPr>
        <w:t xml:space="preserve">verifica dell’anomalia dell’offerta e, infine, alla </w:t>
      </w:r>
      <w:r w:rsidRPr="00BB30BD">
        <w:rPr>
          <w:rFonts w:ascii="Arial" w:hAnsi="Arial" w:cs="Arial"/>
        </w:rPr>
        <w:t>valutazione dell’offerta economica di tutti gli operatori economici concorrenti ammessi, poi, alla verifica della documentazione amministrativa dell’operatore economico concorrente primo in graduatoria</w:t>
      </w:r>
      <w:r w:rsidR="00837EC5">
        <w:rPr>
          <w:rFonts w:ascii="Arial" w:hAnsi="Arial" w:cs="Arial"/>
        </w:rPr>
        <w:t>.</w:t>
      </w:r>
      <w:r w:rsidRPr="00BB30BD">
        <w:rPr>
          <w:rFonts w:ascii="Arial" w:hAnsi="Arial" w:cs="Arial"/>
        </w:rPr>
        <w:t xml:space="preserve"> </w:t>
      </w:r>
    </w:p>
    <w:bookmarkEnd w:id="3"/>
    <w:p w14:paraId="23EE345F" w14:textId="302BB0D1" w:rsidR="00096C38" w:rsidRPr="00096C38" w:rsidRDefault="00096C38" w:rsidP="00096C38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Il giorno </w:t>
      </w:r>
      <w:r w:rsidR="002D7512">
        <w:rPr>
          <w:rFonts w:ascii="Arial" w:hAnsi="Arial" w:cs="Arial"/>
        </w:rPr>
        <w:t xml:space="preserve">19 </w:t>
      </w:r>
      <w:proofErr w:type="gramStart"/>
      <w:r w:rsidR="002D7512">
        <w:rPr>
          <w:rFonts w:ascii="Arial" w:hAnsi="Arial" w:cs="Arial"/>
        </w:rPr>
        <w:t>Aprile</w:t>
      </w:r>
      <w:proofErr w:type="gramEnd"/>
      <w:r w:rsidR="002D7512">
        <w:rPr>
          <w:rFonts w:ascii="Arial" w:hAnsi="Arial" w:cs="Arial"/>
        </w:rPr>
        <w:t xml:space="preserve"> 2024</w:t>
      </w:r>
      <w:r w:rsidRPr="00096C38">
        <w:rPr>
          <w:rFonts w:ascii="Arial" w:hAnsi="Arial" w:cs="Arial"/>
        </w:rPr>
        <w:t xml:space="preserve"> alle ore </w:t>
      </w:r>
      <w:r w:rsidR="002D7512">
        <w:rPr>
          <w:rFonts w:ascii="Arial" w:hAnsi="Arial" w:cs="Arial"/>
        </w:rPr>
        <w:t>10:00</w:t>
      </w:r>
      <w:r w:rsidRPr="00096C38">
        <w:rPr>
          <w:rFonts w:ascii="Arial" w:hAnsi="Arial" w:cs="Arial"/>
        </w:rPr>
        <w:t xml:space="preserve"> si è riunito, in seduta pubblica online, attraverso lo strumento di videochat telematica fornito dalla </w:t>
      </w:r>
      <w:r w:rsidRPr="00962DDF">
        <w:rPr>
          <w:rFonts w:ascii="Arial" w:hAnsi="Arial" w:cs="Arial"/>
        </w:rPr>
        <w:t>piattaforma Microsoft Teams, la Commissione giudicatrice, nominata con provvedimento del</w:t>
      </w:r>
      <w:r w:rsidR="002D7512" w:rsidRPr="00962DDF">
        <w:rPr>
          <w:rFonts w:ascii="Arial" w:hAnsi="Arial" w:cs="Arial"/>
        </w:rPr>
        <w:t xml:space="preserve"> 11 Aprile 2024</w:t>
      </w:r>
      <w:r w:rsidRPr="00962DDF">
        <w:rPr>
          <w:rFonts w:ascii="Arial" w:hAnsi="Arial" w:cs="Arial"/>
        </w:rPr>
        <w:t>, come di</w:t>
      </w:r>
      <w:r w:rsidRPr="00096C38">
        <w:rPr>
          <w:rFonts w:ascii="Arial" w:hAnsi="Arial" w:cs="Arial"/>
        </w:rPr>
        <w:t xml:space="preserve"> seguito costituita:</w:t>
      </w:r>
    </w:p>
    <w:p w14:paraId="045BDF4E" w14:textId="62822DD5" w:rsidR="00096C38" w:rsidRPr="00096C38" w:rsidRDefault="002D7512" w:rsidP="00096C38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Riccardo Meloni</w:t>
      </w:r>
      <w:r w:rsidR="00096C38" w:rsidRPr="00096C38">
        <w:rPr>
          <w:rFonts w:ascii="Arial" w:hAnsi="Arial" w:cs="Arial"/>
        </w:rPr>
        <w:tab/>
      </w:r>
      <w:r w:rsidR="00096C38" w:rsidRPr="00096C38">
        <w:rPr>
          <w:rFonts w:ascii="Arial" w:hAnsi="Arial" w:cs="Arial"/>
        </w:rPr>
        <w:tab/>
        <w:t>Presidente</w:t>
      </w:r>
    </w:p>
    <w:p w14:paraId="53926F0E" w14:textId="00B3D15D" w:rsidR="00096C38" w:rsidRPr="00096C38" w:rsidRDefault="00C2112E" w:rsidP="00096C38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Sergio Bernardini</w:t>
      </w:r>
      <w:r w:rsidR="00096C38" w:rsidRPr="00096C38">
        <w:rPr>
          <w:rFonts w:ascii="Arial" w:hAnsi="Arial" w:cs="Arial"/>
        </w:rPr>
        <w:tab/>
      </w:r>
      <w:r w:rsidR="00096C38" w:rsidRPr="00096C38">
        <w:rPr>
          <w:rFonts w:ascii="Arial" w:hAnsi="Arial" w:cs="Arial"/>
        </w:rPr>
        <w:tab/>
        <w:t>Membro Componente</w:t>
      </w:r>
    </w:p>
    <w:p w14:paraId="33BB3D02" w14:textId="5B6C979B" w:rsidR="00096C38" w:rsidRPr="00096C38" w:rsidRDefault="00C2112E" w:rsidP="00096C38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Matteo Masi</w:t>
      </w:r>
      <w:r w:rsidR="00096C38" w:rsidRPr="00096C38">
        <w:rPr>
          <w:rFonts w:ascii="Arial" w:hAnsi="Arial" w:cs="Arial"/>
        </w:rPr>
        <w:tab/>
      </w:r>
      <w:r w:rsidR="00096C38" w:rsidRPr="00096C38">
        <w:rPr>
          <w:rFonts w:ascii="Arial" w:hAnsi="Arial" w:cs="Arial"/>
        </w:rPr>
        <w:tab/>
      </w:r>
      <w:r w:rsidR="000C4C7B">
        <w:rPr>
          <w:rFonts w:ascii="Arial" w:hAnsi="Arial" w:cs="Arial"/>
        </w:rPr>
        <w:t xml:space="preserve">             </w:t>
      </w:r>
      <w:r w:rsidR="00096C38" w:rsidRPr="00096C38">
        <w:rPr>
          <w:rFonts w:ascii="Arial" w:hAnsi="Arial" w:cs="Arial"/>
        </w:rPr>
        <w:t xml:space="preserve">Membro Componente </w:t>
      </w:r>
    </w:p>
    <w:p w14:paraId="31205629" w14:textId="757CBA3F" w:rsidR="00096C38" w:rsidRDefault="00096C38" w:rsidP="00096C38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per l’apertura delle buste chiuse digitali contenenti i documenti relativ</w:t>
      </w:r>
      <w:r>
        <w:rPr>
          <w:rFonts w:ascii="Arial" w:hAnsi="Arial" w:cs="Arial"/>
        </w:rPr>
        <w:t>i</w:t>
      </w:r>
      <w:r w:rsidRPr="00096C38">
        <w:rPr>
          <w:rFonts w:ascii="Arial" w:hAnsi="Arial" w:cs="Arial"/>
        </w:rPr>
        <w:t xml:space="preserve"> all’offerta tecnica, inseriti dagli operatori economici </w:t>
      </w:r>
      <w:r>
        <w:rPr>
          <w:rFonts w:ascii="Arial" w:hAnsi="Arial" w:cs="Arial"/>
        </w:rPr>
        <w:t>concorrenti</w:t>
      </w:r>
      <w:r w:rsidRPr="00096C38">
        <w:rPr>
          <w:rFonts w:ascii="Arial" w:hAnsi="Arial" w:cs="Arial"/>
        </w:rPr>
        <w:t>.</w:t>
      </w:r>
    </w:p>
    <w:p w14:paraId="5A59540B" w14:textId="3A318098" w:rsidR="0005372C" w:rsidRPr="00096C38" w:rsidRDefault="0005372C" w:rsidP="0005372C">
      <w:pPr>
        <w:spacing w:before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Svolgono il ruolo di segretari i seguenti:</w:t>
      </w:r>
    </w:p>
    <w:p w14:paraId="2FF9FDD8" w14:textId="0FB79895" w:rsidR="0005372C" w:rsidRPr="000C4C7B" w:rsidRDefault="00C2112E" w:rsidP="000C4C7B">
      <w:pPr>
        <w:pStyle w:val="Paragrafoelenco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Luca Leonetti</w:t>
      </w:r>
      <w:r w:rsidR="0005372C" w:rsidRPr="000C4C7B">
        <w:rPr>
          <w:rFonts w:ascii="Arial" w:hAnsi="Arial" w:cs="Arial"/>
        </w:rPr>
        <w:tab/>
      </w:r>
      <w:r w:rsidR="0005372C" w:rsidRPr="000C4C7B">
        <w:rPr>
          <w:rFonts w:ascii="Arial" w:hAnsi="Arial" w:cs="Arial"/>
        </w:rPr>
        <w:tab/>
      </w:r>
    </w:p>
    <w:p w14:paraId="4D01FA19" w14:textId="400AE396" w:rsidR="00096C38" w:rsidRPr="000C4C7B" w:rsidRDefault="00C2112E" w:rsidP="000C4C7B">
      <w:pPr>
        <w:pStyle w:val="Paragrafoelenco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Gabriele Mannucci</w:t>
      </w:r>
    </w:p>
    <w:p w14:paraId="4FFB97A1" w14:textId="77777777" w:rsidR="00096C38" w:rsidRDefault="00096C38" w:rsidP="00096C38">
      <w:pPr>
        <w:spacing w:before="120"/>
        <w:jc w:val="both"/>
        <w:rPr>
          <w:rFonts w:ascii="Arial" w:hAnsi="Arial" w:cs="Arial"/>
        </w:rPr>
      </w:pPr>
    </w:p>
    <w:p w14:paraId="64FD96ED" w14:textId="77777777" w:rsidR="00BB30BD" w:rsidRDefault="00BB30BD" w:rsidP="00096C38">
      <w:pPr>
        <w:spacing w:before="120"/>
        <w:jc w:val="both"/>
        <w:rPr>
          <w:rFonts w:ascii="Arial" w:hAnsi="Arial" w:cs="Arial"/>
        </w:rPr>
      </w:pPr>
      <w:r w:rsidRPr="00BB30BD">
        <w:rPr>
          <w:rFonts w:ascii="Arial" w:hAnsi="Arial" w:cs="Arial"/>
        </w:rPr>
        <w:t xml:space="preserve">Alla seduta pubblica </w:t>
      </w:r>
      <w:r>
        <w:rPr>
          <w:rFonts w:ascii="Arial" w:hAnsi="Arial" w:cs="Arial"/>
        </w:rPr>
        <w:t>risultano collegati i seguenti operatori economici:</w:t>
      </w:r>
    </w:p>
    <w:p w14:paraId="4E85EFE4" w14:textId="1ED8EFE6" w:rsidR="00BB30BD" w:rsidRPr="00962DDF" w:rsidRDefault="00C2112E" w:rsidP="00962DDF">
      <w:pPr>
        <w:pStyle w:val="Paragrafoelenco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62DDF">
        <w:rPr>
          <w:rFonts w:ascii="Arial" w:hAnsi="Arial" w:cs="Arial"/>
        </w:rPr>
        <w:t xml:space="preserve">Allianz 004 </w:t>
      </w:r>
      <w:proofErr w:type="spellStart"/>
      <w:r w:rsidRPr="00962DDF">
        <w:rPr>
          <w:rFonts w:ascii="Arial" w:hAnsi="Arial" w:cs="Arial"/>
        </w:rPr>
        <w:t>SrL</w:t>
      </w:r>
      <w:proofErr w:type="spellEnd"/>
    </w:p>
    <w:p w14:paraId="2F225604" w14:textId="256CE1E9" w:rsidR="00C2112E" w:rsidRPr="00962DDF" w:rsidRDefault="00C2112E" w:rsidP="00962DDF">
      <w:pPr>
        <w:pStyle w:val="Paragrafoelenco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proofErr w:type="spellStart"/>
      <w:r w:rsidRPr="00962DDF">
        <w:rPr>
          <w:rFonts w:ascii="Arial" w:hAnsi="Arial" w:cs="Arial"/>
        </w:rPr>
        <w:lastRenderedPageBreak/>
        <w:t>Unisalute</w:t>
      </w:r>
      <w:proofErr w:type="spellEnd"/>
    </w:p>
    <w:p w14:paraId="23CCD5C8" w14:textId="2DE8A140" w:rsidR="00096C38" w:rsidRPr="00C2112E" w:rsidRDefault="00096C38" w:rsidP="00096C38">
      <w:pPr>
        <w:spacing w:before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 xml:space="preserve">Entro il termine previsto per la presentazione delle offerte (ore </w:t>
      </w:r>
      <w:r w:rsidR="00C2112E" w:rsidRPr="00C2112E">
        <w:rPr>
          <w:rFonts w:ascii="Arial" w:hAnsi="Arial" w:cs="Arial"/>
        </w:rPr>
        <w:t>12</w:t>
      </w:r>
      <w:r w:rsidRPr="00C2112E">
        <w:rPr>
          <w:rFonts w:ascii="Arial" w:hAnsi="Arial" w:cs="Arial"/>
        </w:rPr>
        <w:t xml:space="preserve"> del giorno </w:t>
      </w:r>
      <w:r w:rsidR="00C2112E" w:rsidRPr="00C2112E">
        <w:rPr>
          <w:rFonts w:ascii="Arial" w:hAnsi="Arial" w:cs="Arial"/>
        </w:rPr>
        <w:t>26</w:t>
      </w:r>
      <w:r w:rsidR="00E227BC" w:rsidRPr="00C2112E">
        <w:rPr>
          <w:rFonts w:ascii="Arial" w:hAnsi="Arial" w:cs="Arial"/>
        </w:rPr>
        <w:t>/</w:t>
      </w:r>
      <w:r w:rsidR="00C2112E" w:rsidRPr="00C2112E">
        <w:rPr>
          <w:rFonts w:ascii="Arial" w:hAnsi="Arial" w:cs="Arial"/>
        </w:rPr>
        <w:t>03</w:t>
      </w:r>
      <w:r w:rsidR="00E227BC" w:rsidRPr="00C2112E">
        <w:rPr>
          <w:rFonts w:ascii="Arial" w:hAnsi="Arial" w:cs="Arial"/>
        </w:rPr>
        <w:t>/20</w:t>
      </w:r>
      <w:r w:rsidR="00C2112E" w:rsidRPr="00C2112E">
        <w:rPr>
          <w:rFonts w:ascii="Arial" w:hAnsi="Arial" w:cs="Arial"/>
        </w:rPr>
        <w:t>24</w:t>
      </w:r>
      <w:r w:rsidR="00E227BC" w:rsidRPr="00C2112E">
        <w:rPr>
          <w:rFonts w:ascii="Arial" w:hAnsi="Arial" w:cs="Arial"/>
        </w:rPr>
        <w:t xml:space="preserve">) </w:t>
      </w:r>
      <w:r w:rsidRPr="00C2112E">
        <w:rPr>
          <w:rFonts w:ascii="Arial" w:hAnsi="Arial" w:cs="Arial"/>
        </w:rPr>
        <w:t>risultano pervenute a sistema le risposte da parte dei seguenti operatori economici:</w:t>
      </w:r>
    </w:p>
    <w:p w14:paraId="0432244A" w14:textId="18EAC341" w:rsidR="00096C38" w:rsidRPr="00C2112E" w:rsidRDefault="00C2112E" w:rsidP="00096C38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 xml:space="preserve">Allianz 004 </w:t>
      </w:r>
      <w:proofErr w:type="spellStart"/>
      <w:r w:rsidRPr="00C2112E">
        <w:rPr>
          <w:rFonts w:ascii="Arial" w:hAnsi="Arial" w:cs="Arial"/>
        </w:rPr>
        <w:t>SrL</w:t>
      </w:r>
      <w:proofErr w:type="spellEnd"/>
    </w:p>
    <w:p w14:paraId="12A6DB11" w14:textId="17374B74" w:rsidR="00096C38" w:rsidRPr="00C2112E" w:rsidRDefault="00C2112E" w:rsidP="00096C38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proofErr w:type="spellStart"/>
      <w:r w:rsidRPr="00C2112E">
        <w:rPr>
          <w:rFonts w:ascii="Arial" w:hAnsi="Arial" w:cs="Arial"/>
        </w:rPr>
        <w:t>Unisalute</w:t>
      </w:r>
      <w:proofErr w:type="spellEnd"/>
    </w:p>
    <w:p w14:paraId="70322976" w14:textId="5FACC78D" w:rsidR="00C2112E" w:rsidRPr="00C2112E" w:rsidRDefault="00C2112E" w:rsidP="00096C38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 xml:space="preserve">Poste Assicura </w:t>
      </w:r>
      <w:proofErr w:type="spellStart"/>
      <w:r w:rsidRPr="00C2112E">
        <w:rPr>
          <w:rFonts w:ascii="Arial" w:hAnsi="Arial" w:cs="Arial"/>
        </w:rPr>
        <w:t>SpA</w:t>
      </w:r>
      <w:proofErr w:type="spellEnd"/>
    </w:p>
    <w:p w14:paraId="55A2A38C" w14:textId="0CF4EB82" w:rsidR="00096C38" w:rsidRPr="00C2112E" w:rsidRDefault="00096C38" w:rsidP="00096C38">
      <w:pPr>
        <w:spacing w:before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 xml:space="preserve">Il Segretario </w:t>
      </w:r>
      <w:r w:rsidR="00C2112E" w:rsidRPr="00C2112E">
        <w:rPr>
          <w:rFonts w:ascii="Arial" w:hAnsi="Arial" w:cs="Arial"/>
        </w:rPr>
        <w:t>Gabriele Mannucci</w:t>
      </w:r>
      <w:r w:rsidRPr="00C2112E">
        <w:rPr>
          <w:rFonts w:ascii="Arial" w:hAnsi="Arial" w:cs="Arial"/>
        </w:rPr>
        <w:t xml:space="preserve"> procede, con le proprie credenziali:</w:t>
      </w:r>
    </w:p>
    <w:p w14:paraId="5B691A02" w14:textId="3A1B5759" w:rsidR="00096C38" w:rsidRPr="00C2112E" w:rsidRDefault="00096C38" w:rsidP="00096C38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 xml:space="preserve">all’apertura delle buste </w:t>
      </w:r>
      <w:r w:rsidR="00BB30BD" w:rsidRPr="00C2112E">
        <w:rPr>
          <w:rFonts w:ascii="Arial" w:hAnsi="Arial" w:cs="Arial"/>
        </w:rPr>
        <w:t>chiuse digitali contenent</w:t>
      </w:r>
      <w:r w:rsidR="00C12647" w:rsidRPr="00C2112E">
        <w:rPr>
          <w:rFonts w:ascii="Arial" w:hAnsi="Arial" w:cs="Arial"/>
        </w:rPr>
        <w:t>i</w:t>
      </w:r>
      <w:r w:rsidR="00BB30BD" w:rsidRPr="00C2112E">
        <w:rPr>
          <w:rFonts w:ascii="Arial" w:hAnsi="Arial" w:cs="Arial"/>
        </w:rPr>
        <w:t xml:space="preserve"> le offerte tecniche degli </w:t>
      </w:r>
      <w:r w:rsidRPr="00C2112E">
        <w:rPr>
          <w:rFonts w:ascii="Arial" w:hAnsi="Arial" w:cs="Arial"/>
        </w:rPr>
        <w:t xml:space="preserve">operatori economici </w:t>
      </w:r>
      <w:r w:rsidR="00BB30BD" w:rsidRPr="00C2112E">
        <w:rPr>
          <w:rFonts w:ascii="Arial" w:hAnsi="Arial" w:cs="Arial"/>
        </w:rPr>
        <w:t>concorrenti</w:t>
      </w:r>
      <w:r w:rsidRPr="00C2112E">
        <w:rPr>
          <w:rFonts w:ascii="Arial" w:hAnsi="Arial" w:cs="Arial"/>
        </w:rPr>
        <w:t>;</w:t>
      </w:r>
    </w:p>
    <w:p w14:paraId="6A17AAFF" w14:textId="77777777" w:rsidR="00096C38" w:rsidRPr="00C2112E" w:rsidRDefault="00096C38" w:rsidP="00096C38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>all’apertura dei report di firma digitale e di tutti i documenti inseriti nel sistema.</w:t>
      </w:r>
    </w:p>
    <w:p w14:paraId="2907E489" w14:textId="4C2B7537" w:rsidR="00096C38" w:rsidRPr="00C2112E" w:rsidRDefault="00096C38" w:rsidP="00096C38">
      <w:pPr>
        <w:spacing w:before="120" w:after="120"/>
        <w:jc w:val="both"/>
        <w:rPr>
          <w:rFonts w:ascii="Arial" w:hAnsi="Arial" w:cs="Arial"/>
        </w:rPr>
      </w:pPr>
      <w:r w:rsidRPr="00C2112E">
        <w:rPr>
          <w:rFonts w:ascii="Arial" w:hAnsi="Arial" w:cs="Arial"/>
        </w:rPr>
        <w:t>La Commissione giudicatrice riscontra quanto segue: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685"/>
      </w:tblGrid>
      <w:tr w:rsidR="00096C38" w:rsidRPr="00C2112E" w14:paraId="7F10FA39" w14:textId="77777777" w:rsidTr="00096C38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724D3" w14:textId="77777777" w:rsidR="00096C38" w:rsidRPr="00C2112E" w:rsidRDefault="00096C38" w:rsidP="00096C3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C2112E">
              <w:rPr>
                <w:rFonts w:ascii="Arial" w:hAnsi="Arial" w:cs="Arial"/>
                <w:b/>
                <w:bCs/>
              </w:rPr>
              <w:t>Ragione Sociale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C9051" w14:textId="77777777" w:rsidR="00096C38" w:rsidRPr="00C2112E" w:rsidRDefault="00096C38" w:rsidP="00096C3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C2112E">
              <w:rPr>
                <w:rFonts w:ascii="Arial" w:hAnsi="Arial" w:cs="Arial"/>
                <w:b/>
                <w:bCs/>
              </w:rPr>
              <w:t>Irregolarità riscontrate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928DA" w14:textId="77777777" w:rsidR="00096C38" w:rsidRPr="00C2112E" w:rsidRDefault="00096C38" w:rsidP="00096C3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C2112E"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C2112E" w:rsidRPr="00C2112E" w14:paraId="7587503D" w14:textId="77777777" w:rsidTr="00C2112E">
        <w:tc>
          <w:tcPr>
            <w:tcW w:w="2376" w:type="dxa"/>
          </w:tcPr>
          <w:p w14:paraId="495C6467" w14:textId="44D8637A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Allianz 004 </w:t>
            </w:r>
            <w:proofErr w:type="spellStart"/>
            <w:r w:rsidRPr="00C2112E">
              <w:rPr>
                <w:rFonts w:ascii="Arial" w:hAnsi="Arial" w:cs="Arial"/>
              </w:rPr>
              <w:t>SrL</w:t>
            </w:r>
            <w:proofErr w:type="spellEnd"/>
          </w:p>
        </w:tc>
        <w:tc>
          <w:tcPr>
            <w:tcW w:w="3828" w:type="dxa"/>
          </w:tcPr>
          <w:p w14:paraId="78849B75" w14:textId="7B2A3483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>Nessuna</w:t>
            </w:r>
          </w:p>
        </w:tc>
        <w:tc>
          <w:tcPr>
            <w:tcW w:w="3685" w:type="dxa"/>
          </w:tcPr>
          <w:p w14:paraId="63ACC17A" w14:textId="77777777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112E" w:rsidRPr="00C2112E" w14:paraId="63490E24" w14:textId="77777777" w:rsidTr="00C2112E">
        <w:tc>
          <w:tcPr>
            <w:tcW w:w="2376" w:type="dxa"/>
          </w:tcPr>
          <w:p w14:paraId="0AF5CA38" w14:textId="3C6D2AB1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C2112E">
              <w:rPr>
                <w:rFonts w:ascii="Arial" w:hAnsi="Arial" w:cs="Arial"/>
              </w:rPr>
              <w:t>Unisalute</w:t>
            </w:r>
            <w:proofErr w:type="spellEnd"/>
          </w:p>
        </w:tc>
        <w:tc>
          <w:tcPr>
            <w:tcW w:w="3828" w:type="dxa"/>
          </w:tcPr>
          <w:p w14:paraId="125B8ECD" w14:textId="76335156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>Nessuna</w:t>
            </w:r>
          </w:p>
        </w:tc>
        <w:tc>
          <w:tcPr>
            <w:tcW w:w="3685" w:type="dxa"/>
          </w:tcPr>
          <w:p w14:paraId="5D821AC0" w14:textId="77777777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112E" w:rsidRPr="00096C38" w14:paraId="0FA3C5BD" w14:textId="77777777" w:rsidTr="00096C38">
        <w:tc>
          <w:tcPr>
            <w:tcW w:w="2376" w:type="dxa"/>
            <w:tcBorders>
              <w:bottom w:val="single" w:sz="4" w:space="0" w:color="auto"/>
            </w:tcBorders>
          </w:tcPr>
          <w:p w14:paraId="0A88B928" w14:textId="430BAD4E" w:rsidR="00C2112E" w:rsidRPr="00C2112E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Poste Assicura </w:t>
            </w:r>
            <w:proofErr w:type="spellStart"/>
            <w:r w:rsidRPr="00C2112E">
              <w:rPr>
                <w:rFonts w:ascii="Arial" w:hAnsi="Arial" w:cs="Arial"/>
              </w:rPr>
              <w:t>SpA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A33DBD8" w14:textId="29C43E8A" w:rsidR="00C2112E" w:rsidRPr="00096C38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>Nessuna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85BCAA" w14:textId="77777777" w:rsidR="00C2112E" w:rsidRPr="00096C38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0C1881D" w14:textId="67399A89" w:rsidR="00BB30BD" w:rsidRDefault="00BB30BD" w:rsidP="00096C38">
      <w:pPr>
        <w:spacing w:before="120"/>
        <w:ind w:right="-1"/>
        <w:jc w:val="both"/>
        <w:rPr>
          <w:rFonts w:ascii="Arial" w:hAnsi="Arial" w:cs="Arial"/>
        </w:rPr>
      </w:pPr>
    </w:p>
    <w:p w14:paraId="40AA1FCD" w14:textId="1EFFF108" w:rsidR="00C2112E" w:rsidRDefault="00C2112E" w:rsidP="00096C38">
      <w:pPr>
        <w:spacing w:before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Poiché i criteri delle offerte tecniche sono esclusivamente quantitativi e tabellari, la Commissione richi</w:t>
      </w:r>
      <w:r w:rsidR="000C4C7B">
        <w:rPr>
          <w:rFonts w:ascii="Arial" w:hAnsi="Arial" w:cs="Arial"/>
        </w:rPr>
        <w:t>e</w:t>
      </w:r>
      <w:r>
        <w:rPr>
          <w:rFonts w:ascii="Arial" w:hAnsi="Arial" w:cs="Arial"/>
        </w:rPr>
        <w:t>de agli operatori economici presenti di uscire dalla seduta pubblica al fine di avviare e concludere le valutazioni al termine delle quali sarà per loro possibile ricollegarsi alla seduta pubblica.</w:t>
      </w:r>
    </w:p>
    <w:p w14:paraId="34DCB1F9" w14:textId="362E8412" w:rsidR="00C2112E" w:rsidRPr="00096C38" w:rsidRDefault="00C2112E" w:rsidP="00C2112E">
      <w:pPr>
        <w:spacing w:before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Si procede all’</w:t>
      </w:r>
      <w:r w:rsidRPr="00096C38">
        <w:rPr>
          <w:rFonts w:ascii="Arial" w:hAnsi="Arial" w:cs="Arial"/>
        </w:rPr>
        <w:t xml:space="preserve">attribuzione dei coefficienti secondo quanto previsto </w:t>
      </w:r>
      <w:r>
        <w:rPr>
          <w:rFonts w:ascii="Arial" w:hAnsi="Arial" w:cs="Arial"/>
        </w:rPr>
        <w:t xml:space="preserve">nel </w:t>
      </w:r>
      <w:r>
        <w:rPr>
          <w:rFonts w:ascii="Arial" w:hAnsi="Arial" w:cs="Arial"/>
        </w:rPr>
        <w:t>Disciplinare</w:t>
      </w:r>
      <w:r w:rsidRPr="00096C38">
        <w:rPr>
          <w:rFonts w:ascii="Arial" w:hAnsi="Arial" w:cs="Arial"/>
        </w:rPr>
        <w:t xml:space="preserve"> e il calcolo dei punteggi tecnici.</w:t>
      </w:r>
    </w:p>
    <w:p w14:paraId="65C3AB75" w14:textId="318D8433" w:rsidR="00C2112E" w:rsidRPr="00096C38" w:rsidRDefault="00C2112E" w:rsidP="00C2112E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Per gli elementi di valutazione di tipo “quantitativo” si procede all’inserimento dei valori offerti dagli operatori economici concorrenti.</w:t>
      </w:r>
    </w:p>
    <w:p w14:paraId="1E958338" w14:textId="1D157451" w:rsidR="00C2112E" w:rsidRPr="00096C38" w:rsidRDefault="00C2112E" w:rsidP="00C2112E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Per gli elementi di valutazione di tipo “tabellare” si procede all’indicazione della presenza, o dell’assenza, nell’offerta dell’elemento richiesto nel</w:t>
      </w:r>
      <w:r>
        <w:rPr>
          <w:rFonts w:ascii="Arial" w:hAnsi="Arial" w:cs="Arial"/>
        </w:rPr>
        <w:t xml:space="preserve"> Disciplinare</w:t>
      </w:r>
      <w:r w:rsidRPr="00096C38">
        <w:rPr>
          <w:rFonts w:ascii="Arial" w:hAnsi="Arial" w:cs="Arial"/>
        </w:rPr>
        <w:t>.</w:t>
      </w:r>
    </w:p>
    <w:p w14:paraId="09383A0C" w14:textId="77777777" w:rsidR="00C2112E" w:rsidRPr="00096C38" w:rsidRDefault="00C2112E" w:rsidP="00C2112E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Si riscontra quanto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87"/>
        <w:gridCol w:w="4841"/>
      </w:tblGrid>
      <w:tr w:rsidR="00C2112E" w:rsidRPr="00892F3F" w14:paraId="017F60D4" w14:textId="77777777" w:rsidTr="00B240BB">
        <w:tc>
          <w:tcPr>
            <w:tcW w:w="24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7980E" w14:textId="77777777" w:rsidR="00C2112E" w:rsidRPr="00892F3F" w:rsidRDefault="00C2112E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892F3F">
              <w:rPr>
                <w:rFonts w:ascii="Arial" w:hAnsi="Arial" w:cs="Arial"/>
                <w:b/>
                <w:bCs/>
              </w:rPr>
              <w:t>Ragione Sociale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125AF" w14:textId="77777777" w:rsidR="00C2112E" w:rsidRPr="00892F3F" w:rsidRDefault="00C2112E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892F3F">
              <w:rPr>
                <w:rFonts w:ascii="Arial" w:hAnsi="Arial" w:cs="Arial"/>
                <w:b/>
                <w:bCs/>
              </w:rPr>
              <w:t xml:space="preserve">Punteggio tecnico complessivo T + Q +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C2112E" w:rsidRPr="00892F3F" w14:paraId="79E2DCDB" w14:textId="77777777" w:rsidTr="00B240BB">
        <w:tc>
          <w:tcPr>
            <w:tcW w:w="2486" w:type="pct"/>
          </w:tcPr>
          <w:p w14:paraId="0EB2459D" w14:textId="2001E85A" w:rsidR="00C2112E" w:rsidRPr="00892F3F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Allianz 004 </w:t>
            </w:r>
            <w:proofErr w:type="spellStart"/>
            <w:r w:rsidRPr="00C2112E">
              <w:rPr>
                <w:rFonts w:ascii="Arial" w:hAnsi="Arial" w:cs="Arial"/>
              </w:rPr>
              <w:t>SrL</w:t>
            </w:r>
            <w:proofErr w:type="spellEnd"/>
          </w:p>
        </w:tc>
        <w:tc>
          <w:tcPr>
            <w:tcW w:w="2514" w:type="pct"/>
          </w:tcPr>
          <w:p w14:paraId="68254C09" w14:textId="1C4F50AA" w:rsidR="00C2112E" w:rsidRPr="00892F3F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42,77</w:t>
            </w:r>
          </w:p>
        </w:tc>
      </w:tr>
      <w:tr w:rsidR="00C2112E" w:rsidRPr="00892F3F" w14:paraId="41D3D94D" w14:textId="77777777" w:rsidTr="00B240BB">
        <w:tc>
          <w:tcPr>
            <w:tcW w:w="2486" w:type="pct"/>
          </w:tcPr>
          <w:p w14:paraId="0F3FAF27" w14:textId="6B03EF96" w:rsidR="00C2112E" w:rsidRPr="00892F3F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Poste Assicura </w:t>
            </w:r>
            <w:proofErr w:type="spellStart"/>
            <w:r w:rsidRPr="00C2112E">
              <w:rPr>
                <w:rFonts w:ascii="Arial" w:hAnsi="Arial" w:cs="Arial"/>
              </w:rPr>
              <w:t>SpA</w:t>
            </w:r>
            <w:proofErr w:type="spellEnd"/>
          </w:p>
        </w:tc>
        <w:tc>
          <w:tcPr>
            <w:tcW w:w="2514" w:type="pct"/>
          </w:tcPr>
          <w:p w14:paraId="192F2CBC" w14:textId="18B76ED5" w:rsidR="00C2112E" w:rsidRPr="00892F3F" w:rsidRDefault="00962DDF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37,41</w:t>
            </w:r>
          </w:p>
        </w:tc>
      </w:tr>
      <w:tr w:rsidR="00C2112E" w:rsidRPr="00892F3F" w14:paraId="225EDFC7" w14:textId="77777777" w:rsidTr="00B240BB">
        <w:tc>
          <w:tcPr>
            <w:tcW w:w="2486" w:type="pct"/>
            <w:tcBorders>
              <w:bottom w:val="single" w:sz="4" w:space="0" w:color="auto"/>
            </w:tcBorders>
          </w:tcPr>
          <w:p w14:paraId="774430DE" w14:textId="110B412F" w:rsidR="00C2112E" w:rsidRPr="00892F3F" w:rsidRDefault="00C2112E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C2112E">
              <w:rPr>
                <w:rFonts w:ascii="Arial" w:hAnsi="Arial" w:cs="Arial"/>
              </w:rPr>
              <w:t>Unisalute</w:t>
            </w:r>
            <w:proofErr w:type="spellEnd"/>
          </w:p>
        </w:tc>
        <w:tc>
          <w:tcPr>
            <w:tcW w:w="2514" w:type="pct"/>
            <w:tcBorders>
              <w:bottom w:val="single" w:sz="4" w:space="0" w:color="auto"/>
            </w:tcBorders>
          </w:tcPr>
          <w:p w14:paraId="0E13A2F2" w14:textId="3274FF73" w:rsidR="00C2112E" w:rsidRPr="00892F3F" w:rsidRDefault="00962DDF" w:rsidP="00C2112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30,68</w:t>
            </w:r>
          </w:p>
        </w:tc>
      </w:tr>
    </w:tbl>
    <w:p w14:paraId="2AB8A900" w14:textId="77777777" w:rsidR="00C2112E" w:rsidRDefault="00C2112E" w:rsidP="00096C38">
      <w:pPr>
        <w:spacing w:before="120"/>
        <w:ind w:right="-1"/>
        <w:jc w:val="both"/>
        <w:rPr>
          <w:rFonts w:ascii="Arial" w:hAnsi="Arial" w:cs="Arial"/>
        </w:rPr>
      </w:pPr>
    </w:p>
    <w:p w14:paraId="2C2C9BCB" w14:textId="3272588D" w:rsidR="00962DDF" w:rsidRDefault="00962DDF" w:rsidP="00962DD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C4C7B">
        <w:rPr>
          <w:rFonts w:ascii="Arial" w:hAnsi="Arial" w:cs="Arial"/>
        </w:rPr>
        <w:t>Commissione, quindi,</w:t>
      </w:r>
      <w:r>
        <w:rPr>
          <w:rFonts w:ascii="Arial" w:hAnsi="Arial" w:cs="Arial"/>
        </w:rPr>
        <w:t xml:space="preserve"> riprende la </w:t>
      </w:r>
      <w:r w:rsidRPr="00BB30BD">
        <w:rPr>
          <w:rFonts w:ascii="Arial" w:hAnsi="Arial" w:cs="Arial"/>
        </w:rPr>
        <w:t xml:space="preserve">seduta pubblica </w:t>
      </w:r>
      <w:r>
        <w:rPr>
          <w:rFonts w:ascii="Arial" w:hAnsi="Arial" w:cs="Arial"/>
        </w:rPr>
        <w:t xml:space="preserve">in cui risultano </w:t>
      </w:r>
      <w:r>
        <w:rPr>
          <w:rFonts w:ascii="Arial" w:hAnsi="Arial" w:cs="Arial"/>
        </w:rPr>
        <w:t>collegati i seguenti operatori economici:</w:t>
      </w:r>
    </w:p>
    <w:p w14:paraId="128859A3" w14:textId="77777777" w:rsidR="00962DDF" w:rsidRPr="00962DDF" w:rsidRDefault="00962DDF" w:rsidP="00962DDF">
      <w:pPr>
        <w:pStyle w:val="Paragrafoelenco"/>
        <w:numPr>
          <w:ilvl w:val="0"/>
          <w:numId w:val="14"/>
        </w:numPr>
        <w:tabs>
          <w:tab w:val="left" w:pos="8931"/>
        </w:tabs>
        <w:spacing w:before="120" w:after="120"/>
        <w:jc w:val="both"/>
        <w:rPr>
          <w:rFonts w:ascii="Arial" w:hAnsi="Arial" w:cs="Arial"/>
        </w:rPr>
      </w:pPr>
      <w:r w:rsidRPr="00962DDF">
        <w:rPr>
          <w:rFonts w:ascii="Arial" w:hAnsi="Arial" w:cs="Arial"/>
        </w:rPr>
        <w:t xml:space="preserve">Allianz 004 </w:t>
      </w:r>
      <w:proofErr w:type="spellStart"/>
      <w:r w:rsidRPr="00962DDF">
        <w:rPr>
          <w:rFonts w:ascii="Arial" w:hAnsi="Arial" w:cs="Arial"/>
        </w:rPr>
        <w:t>SrL</w:t>
      </w:r>
      <w:proofErr w:type="spellEnd"/>
    </w:p>
    <w:p w14:paraId="18FC609C" w14:textId="77777777" w:rsidR="00962DDF" w:rsidRPr="00962DDF" w:rsidRDefault="00962DDF" w:rsidP="00962DDF">
      <w:pPr>
        <w:pStyle w:val="Paragrafoelenco"/>
        <w:numPr>
          <w:ilvl w:val="0"/>
          <w:numId w:val="14"/>
        </w:numPr>
        <w:tabs>
          <w:tab w:val="left" w:pos="8931"/>
        </w:tabs>
        <w:spacing w:before="120" w:after="120"/>
        <w:jc w:val="both"/>
        <w:rPr>
          <w:rFonts w:ascii="Arial" w:hAnsi="Arial" w:cs="Arial"/>
        </w:rPr>
      </w:pPr>
      <w:proofErr w:type="spellStart"/>
      <w:r w:rsidRPr="00962DDF">
        <w:rPr>
          <w:rFonts w:ascii="Arial" w:hAnsi="Arial" w:cs="Arial"/>
        </w:rPr>
        <w:t>Unisalute</w:t>
      </w:r>
      <w:proofErr w:type="spellEnd"/>
    </w:p>
    <w:p w14:paraId="14AF47CF" w14:textId="316890B5" w:rsidR="00962DDF" w:rsidRPr="00962DDF" w:rsidRDefault="00962DDF" w:rsidP="00962DDF">
      <w:pPr>
        <w:tabs>
          <w:tab w:val="left" w:pos="8931"/>
        </w:tabs>
        <w:spacing w:before="120" w:after="120"/>
        <w:jc w:val="both"/>
        <w:rPr>
          <w:rFonts w:ascii="Arial" w:hAnsi="Arial" w:cs="Arial"/>
        </w:rPr>
      </w:pPr>
      <w:r w:rsidRPr="0005372C">
        <w:rPr>
          <w:rFonts w:ascii="Arial" w:hAnsi="Arial" w:cs="Arial"/>
        </w:rPr>
        <w:t>Si procede inizialmente alla comunicazione dei punteggi tecnici assegnati agli operatori economici concorrenti.</w:t>
      </w:r>
    </w:p>
    <w:p w14:paraId="23627F7B" w14:textId="77777777" w:rsidR="00962DDF" w:rsidRPr="0005372C" w:rsidRDefault="00962DDF" w:rsidP="00962DDF">
      <w:pPr>
        <w:tabs>
          <w:tab w:val="left" w:pos="8931"/>
        </w:tabs>
        <w:spacing w:before="120" w:after="120"/>
        <w:jc w:val="both"/>
        <w:rPr>
          <w:rFonts w:ascii="Arial" w:hAnsi="Arial" w:cs="Arial"/>
          <w:iCs/>
        </w:rPr>
      </w:pPr>
    </w:p>
    <w:p w14:paraId="14C15CC4" w14:textId="7A916E95" w:rsidR="00962DDF" w:rsidRPr="00096C38" w:rsidRDefault="00962DDF" w:rsidP="00962DDF">
      <w:pPr>
        <w:spacing w:before="120"/>
        <w:jc w:val="both"/>
        <w:rPr>
          <w:rFonts w:ascii="Arial" w:hAnsi="Arial" w:cs="Arial"/>
        </w:rPr>
      </w:pPr>
      <w:r w:rsidRPr="0005372C">
        <w:rPr>
          <w:rFonts w:ascii="Arial" w:hAnsi="Arial" w:cs="Arial"/>
        </w:rPr>
        <w:lastRenderedPageBreak/>
        <w:t>Successivamente</w:t>
      </w:r>
      <w:r>
        <w:rPr>
          <w:rFonts w:ascii="Arial" w:hAnsi="Arial" w:cs="Arial"/>
        </w:rPr>
        <w:t>,</w:t>
      </w:r>
      <w:r w:rsidRPr="0005372C">
        <w:rPr>
          <w:rFonts w:ascii="Arial" w:hAnsi="Arial" w:cs="Arial"/>
        </w:rPr>
        <w:t xml:space="preserve"> il </w:t>
      </w:r>
      <w:r w:rsidR="000C4C7B" w:rsidRPr="0005372C">
        <w:rPr>
          <w:rFonts w:ascii="Arial" w:hAnsi="Arial" w:cs="Arial"/>
        </w:rPr>
        <w:t>Segretari</w:t>
      </w:r>
      <w:r w:rsidR="000C4C7B">
        <w:rPr>
          <w:rFonts w:ascii="Arial" w:hAnsi="Arial" w:cs="Arial"/>
        </w:rPr>
        <w:t>o</w:t>
      </w:r>
      <w:r w:rsidR="000C4C7B" w:rsidRPr="00096C38">
        <w:rPr>
          <w:rFonts w:ascii="Arial" w:hAnsi="Arial" w:cs="Arial"/>
        </w:rPr>
        <w:t xml:space="preserve"> </w:t>
      </w:r>
      <w:r w:rsidR="000C4C7B" w:rsidRPr="0005372C">
        <w:rPr>
          <w:rFonts w:ascii="Arial" w:hAnsi="Arial" w:cs="Arial"/>
        </w:rPr>
        <w:t>procede</w:t>
      </w:r>
      <w:r w:rsidRPr="0005372C">
        <w:rPr>
          <w:rFonts w:ascii="Arial" w:hAnsi="Arial" w:cs="Arial"/>
        </w:rPr>
        <w:t xml:space="preserve">, con le proprie credenziali, all’apertura delle buste chiuse digitali contenenti </w:t>
      </w:r>
      <w:r w:rsidRPr="001A1A9B">
        <w:rPr>
          <w:rFonts w:ascii="Arial" w:hAnsi="Arial" w:cs="Arial"/>
          <w:b/>
          <w:bCs/>
        </w:rPr>
        <w:t>le offerte economiche</w:t>
      </w:r>
      <w:r w:rsidRPr="0005372C">
        <w:rPr>
          <w:rFonts w:ascii="Arial" w:hAnsi="Arial" w:cs="Arial"/>
        </w:rPr>
        <w:t xml:space="preserve"> degli operatori economici concorrenti ammessi constatando quanto segue</w:t>
      </w:r>
      <w:r w:rsidRPr="00096C38">
        <w:rPr>
          <w:rFonts w:ascii="Arial" w:hAnsi="Arial" w:cs="Arial"/>
        </w:rPr>
        <w:t>:</w:t>
      </w:r>
    </w:p>
    <w:p w14:paraId="59107ED4" w14:textId="77777777" w:rsidR="00962DDF" w:rsidRPr="00096C38" w:rsidRDefault="00962DDF" w:rsidP="00962DDF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02"/>
        <w:gridCol w:w="4926"/>
      </w:tblGrid>
      <w:tr w:rsidR="00962DDF" w:rsidRPr="00096C38" w14:paraId="0E7A4568" w14:textId="77777777" w:rsidTr="00B240BB">
        <w:tc>
          <w:tcPr>
            <w:tcW w:w="24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E6A9F" w14:textId="77777777" w:rsidR="00962DDF" w:rsidRPr="00096C38" w:rsidRDefault="00962DDF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Ragione Sociale</w:t>
            </w:r>
          </w:p>
        </w:tc>
        <w:tc>
          <w:tcPr>
            <w:tcW w:w="25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D4D46" w14:textId="0BCC5EF1" w:rsidR="00962DDF" w:rsidRPr="00096C38" w:rsidRDefault="00962DDF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Offerta</w:t>
            </w:r>
            <w:r>
              <w:rPr>
                <w:rFonts w:ascii="Arial" w:hAnsi="Arial" w:cs="Arial"/>
                <w:b/>
                <w:bCs/>
              </w:rPr>
              <w:t xml:space="preserve"> economica</w:t>
            </w:r>
            <w:r>
              <w:rPr>
                <w:rFonts w:ascii="Arial" w:hAnsi="Arial" w:cs="Arial"/>
                <w:b/>
                <w:bCs/>
              </w:rPr>
              <w:t xml:space="preserve"> (% Sconto)</w:t>
            </w:r>
          </w:p>
        </w:tc>
      </w:tr>
      <w:tr w:rsidR="00962DDF" w:rsidRPr="00096C38" w14:paraId="33EC478C" w14:textId="77777777" w:rsidTr="00B240BB">
        <w:tc>
          <w:tcPr>
            <w:tcW w:w="2442" w:type="pct"/>
          </w:tcPr>
          <w:p w14:paraId="03C56B7F" w14:textId="005A9721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Allianz 004 </w:t>
            </w:r>
            <w:proofErr w:type="spellStart"/>
            <w:r w:rsidRPr="00C2112E">
              <w:rPr>
                <w:rFonts w:ascii="Arial" w:hAnsi="Arial" w:cs="Arial"/>
              </w:rPr>
              <w:t>SrL</w:t>
            </w:r>
            <w:proofErr w:type="spellEnd"/>
          </w:p>
        </w:tc>
        <w:tc>
          <w:tcPr>
            <w:tcW w:w="2558" w:type="pct"/>
          </w:tcPr>
          <w:p w14:paraId="47B989E7" w14:textId="42EA96C8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6,126</w:t>
            </w:r>
          </w:p>
        </w:tc>
      </w:tr>
      <w:tr w:rsidR="00962DDF" w:rsidRPr="00096C38" w14:paraId="70151896" w14:textId="77777777" w:rsidTr="00B240BB">
        <w:tc>
          <w:tcPr>
            <w:tcW w:w="2442" w:type="pct"/>
          </w:tcPr>
          <w:p w14:paraId="0A819D87" w14:textId="5E3162F7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Poste Assicura </w:t>
            </w:r>
            <w:proofErr w:type="spellStart"/>
            <w:r w:rsidRPr="00C2112E">
              <w:rPr>
                <w:rFonts w:ascii="Arial" w:hAnsi="Arial" w:cs="Arial"/>
              </w:rPr>
              <w:t>SpA</w:t>
            </w:r>
            <w:proofErr w:type="spellEnd"/>
          </w:p>
        </w:tc>
        <w:tc>
          <w:tcPr>
            <w:tcW w:w="2558" w:type="pct"/>
          </w:tcPr>
          <w:p w14:paraId="29850B74" w14:textId="30445C1F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</w:tr>
      <w:tr w:rsidR="00962DDF" w:rsidRPr="00096C38" w14:paraId="13BB8D62" w14:textId="77777777" w:rsidTr="00B240BB">
        <w:tc>
          <w:tcPr>
            <w:tcW w:w="2442" w:type="pct"/>
            <w:tcBorders>
              <w:bottom w:val="single" w:sz="4" w:space="0" w:color="auto"/>
            </w:tcBorders>
          </w:tcPr>
          <w:p w14:paraId="745D1C37" w14:textId="6F0DA117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C2112E">
              <w:rPr>
                <w:rFonts w:ascii="Arial" w:hAnsi="Arial" w:cs="Arial"/>
              </w:rPr>
              <w:t>Unisalute</w:t>
            </w:r>
            <w:proofErr w:type="spellEnd"/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14:paraId="33104F36" w14:textId="45F073DE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</w:tr>
    </w:tbl>
    <w:p w14:paraId="1D2B9603" w14:textId="77777777" w:rsidR="00962DDF" w:rsidRPr="00096C38" w:rsidRDefault="00962DDF" w:rsidP="00962DDF">
      <w:pPr>
        <w:spacing w:before="120"/>
        <w:jc w:val="both"/>
        <w:rPr>
          <w:rFonts w:ascii="Arial" w:hAnsi="Arial" w:cs="Arial"/>
        </w:rPr>
      </w:pPr>
    </w:p>
    <w:p w14:paraId="2C26A76A" w14:textId="77777777" w:rsidR="00962DDF" w:rsidRPr="00096C38" w:rsidRDefault="00962DDF" w:rsidP="00962DD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528FC">
        <w:rPr>
          <w:rFonts w:ascii="Arial" w:hAnsi="Arial" w:cs="Arial"/>
        </w:rPr>
        <w:t>Commissione giudicatrice non riscontra alcuna irregolarità rispetto alle prescrizioni contenute nel Disciplinare di gara</w:t>
      </w:r>
      <w:r>
        <w:rPr>
          <w:rFonts w:ascii="Arial" w:hAnsi="Arial" w:cs="Arial"/>
        </w:rPr>
        <w:t>.</w:t>
      </w:r>
    </w:p>
    <w:p w14:paraId="6D7F4A3C" w14:textId="77777777" w:rsidR="00962DDF" w:rsidRPr="00096C38" w:rsidRDefault="00962DDF" w:rsidP="00962DDF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Successivamente, attraverso il supporto del file Excel, si procede, per ciascun operatore economico concorrente:</w:t>
      </w:r>
    </w:p>
    <w:p w14:paraId="474FD7FB" w14:textId="13DC2340" w:rsidR="00962DDF" w:rsidRPr="00096C38" w:rsidRDefault="00962DDF" w:rsidP="00962DDF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al calcolo del punteggio economico sulla base </w:t>
      </w:r>
      <w:r>
        <w:rPr>
          <w:rFonts w:ascii="Arial" w:hAnsi="Arial" w:cs="Arial"/>
        </w:rPr>
        <w:t>della formula prevista nel Disciplinare di Gara</w:t>
      </w:r>
      <w:r w:rsidRPr="00096C38">
        <w:rPr>
          <w:rFonts w:ascii="Arial" w:hAnsi="Arial" w:cs="Arial"/>
        </w:rPr>
        <w:t>:</w:t>
      </w:r>
    </w:p>
    <w:p w14:paraId="36702A37" w14:textId="37F403FB" w:rsidR="00962DDF" w:rsidRPr="00962DDF" w:rsidRDefault="00962DDF" w:rsidP="00962DDF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al calcolo del punteggio totale ottenuto sommando il punteggio relativo al criterio “Punteggio Tecnico” (PT) ed il punteggio relativo al criterio “Punteggio Economico” (PE): </w:t>
      </w:r>
      <w:proofErr w:type="spellStart"/>
      <w:r w:rsidRPr="00096C38">
        <w:rPr>
          <w:rFonts w:ascii="Arial" w:hAnsi="Arial" w:cs="Arial"/>
        </w:rPr>
        <w:t>Ptotale</w:t>
      </w:r>
      <w:proofErr w:type="spellEnd"/>
      <w:r w:rsidRPr="00096C38">
        <w:rPr>
          <w:rFonts w:ascii="Arial" w:hAnsi="Arial" w:cs="Arial"/>
        </w:rPr>
        <w:t xml:space="preserve"> = PT + PE,</w:t>
      </w:r>
    </w:p>
    <w:p w14:paraId="08105E05" w14:textId="7C566974" w:rsidR="00962DDF" w:rsidRPr="00096C38" w:rsidRDefault="00962DDF" w:rsidP="00962DDF">
      <w:pPr>
        <w:spacing w:before="120" w:after="120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riscontrando la seguente graduatoria:</w:t>
      </w:r>
    </w:p>
    <w:tbl>
      <w:tblPr>
        <w:tblStyle w:val="Grigliatabel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</w:tblGrid>
      <w:tr w:rsidR="00962DDF" w:rsidRPr="00096C38" w14:paraId="79D940F0" w14:textId="77777777" w:rsidTr="00B240BB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397B7" w14:textId="77777777" w:rsidR="00962DDF" w:rsidRPr="00096C38" w:rsidRDefault="00962DDF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Ragione Sociale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046A1" w14:textId="77777777" w:rsidR="00962DDF" w:rsidRPr="00096C38" w:rsidRDefault="00962DDF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Punteggio tecnico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29821" w14:textId="77777777" w:rsidR="00962DDF" w:rsidRPr="00096C38" w:rsidRDefault="00962DDF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Punteggio economico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431DC1" w14:textId="77777777" w:rsidR="00962DDF" w:rsidRPr="00096C38" w:rsidRDefault="00962DDF" w:rsidP="00B240BB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96C38">
              <w:rPr>
                <w:rFonts w:ascii="Arial" w:hAnsi="Arial" w:cs="Arial"/>
                <w:b/>
                <w:bCs/>
              </w:rPr>
              <w:t>Punteggio totale</w:t>
            </w:r>
          </w:p>
        </w:tc>
      </w:tr>
      <w:tr w:rsidR="00962DDF" w:rsidRPr="00096C38" w14:paraId="7FF6AD97" w14:textId="77777777" w:rsidTr="00E31AE9">
        <w:tc>
          <w:tcPr>
            <w:tcW w:w="2268" w:type="dxa"/>
          </w:tcPr>
          <w:p w14:paraId="1E9D3080" w14:textId="01C1C70E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Allianz 004 </w:t>
            </w:r>
            <w:proofErr w:type="spellStart"/>
            <w:r w:rsidRPr="00C2112E">
              <w:rPr>
                <w:rFonts w:ascii="Arial" w:hAnsi="Arial" w:cs="Arial"/>
              </w:rPr>
              <w:t>SrL</w:t>
            </w:r>
            <w:proofErr w:type="spellEnd"/>
          </w:p>
        </w:tc>
        <w:tc>
          <w:tcPr>
            <w:tcW w:w="2552" w:type="dxa"/>
          </w:tcPr>
          <w:p w14:paraId="0F5A54FA" w14:textId="3D61F50D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42,77</w:t>
            </w:r>
          </w:p>
        </w:tc>
        <w:tc>
          <w:tcPr>
            <w:tcW w:w="2268" w:type="dxa"/>
          </w:tcPr>
          <w:p w14:paraId="177AB052" w14:textId="1248C366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Align w:val="bottom"/>
          </w:tcPr>
          <w:p w14:paraId="58CB07CA" w14:textId="6EA51D76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72,77</w:t>
            </w:r>
          </w:p>
        </w:tc>
      </w:tr>
      <w:tr w:rsidR="00962DDF" w:rsidRPr="00096C38" w14:paraId="62BD7AC4" w14:textId="77777777" w:rsidTr="00E31AE9">
        <w:tc>
          <w:tcPr>
            <w:tcW w:w="2268" w:type="dxa"/>
          </w:tcPr>
          <w:p w14:paraId="356E788F" w14:textId="0D44F0B2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112E">
              <w:rPr>
                <w:rFonts w:ascii="Arial" w:hAnsi="Arial" w:cs="Arial"/>
              </w:rPr>
              <w:t xml:space="preserve">Poste Assicura </w:t>
            </w:r>
            <w:proofErr w:type="spellStart"/>
            <w:r w:rsidRPr="00C2112E">
              <w:rPr>
                <w:rFonts w:ascii="Arial" w:hAnsi="Arial" w:cs="Arial"/>
              </w:rPr>
              <w:t>SpA</w:t>
            </w:r>
            <w:proofErr w:type="spellEnd"/>
          </w:p>
        </w:tc>
        <w:tc>
          <w:tcPr>
            <w:tcW w:w="2552" w:type="dxa"/>
          </w:tcPr>
          <w:p w14:paraId="6A13E5C8" w14:textId="70A33E56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37,41</w:t>
            </w:r>
          </w:p>
        </w:tc>
        <w:tc>
          <w:tcPr>
            <w:tcW w:w="2268" w:type="dxa"/>
          </w:tcPr>
          <w:p w14:paraId="18630FB6" w14:textId="53214255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7,35</w:t>
            </w:r>
          </w:p>
        </w:tc>
        <w:tc>
          <w:tcPr>
            <w:tcW w:w="2268" w:type="dxa"/>
            <w:vAlign w:val="bottom"/>
          </w:tcPr>
          <w:p w14:paraId="2B5E7BBB" w14:textId="50C96C8C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44,76</w:t>
            </w:r>
          </w:p>
        </w:tc>
      </w:tr>
      <w:tr w:rsidR="00962DDF" w:rsidRPr="00096C38" w14:paraId="499EC24A" w14:textId="77777777" w:rsidTr="00E31AE9">
        <w:tc>
          <w:tcPr>
            <w:tcW w:w="2268" w:type="dxa"/>
            <w:tcBorders>
              <w:bottom w:val="single" w:sz="4" w:space="0" w:color="auto"/>
            </w:tcBorders>
          </w:tcPr>
          <w:p w14:paraId="1A1B9622" w14:textId="313DF546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C2112E">
              <w:rPr>
                <w:rFonts w:ascii="Arial" w:hAnsi="Arial" w:cs="Arial"/>
              </w:rPr>
              <w:t>Unisalute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5B6387" w14:textId="7F04305E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060F54" w14:textId="0C37C9F2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86E8D3" w14:textId="764C6692" w:rsidR="00962DDF" w:rsidRPr="00096C38" w:rsidRDefault="00962DDF" w:rsidP="00962DD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30,81</w:t>
            </w:r>
          </w:p>
        </w:tc>
      </w:tr>
    </w:tbl>
    <w:p w14:paraId="6A907057" w14:textId="77777777" w:rsidR="00962DDF" w:rsidRDefault="00962DDF" w:rsidP="00962DDF">
      <w:pPr>
        <w:spacing w:before="120" w:after="120"/>
        <w:jc w:val="both"/>
        <w:rPr>
          <w:rFonts w:ascii="Arial" w:hAnsi="Arial" w:cs="Arial"/>
        </w:rPr>
      </w:pPr>
    </w:p>
    <w:p w14:paraId="4C223842" w14:textId="77777777" w:rsidR="00962DDF" w:rsidRPr="00096C38" w:rsidRDefault="00962DDF" w:rsidP="00962DDF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>Di quanto sopra, è redatto il presente verbale, che viene sottoscritto da ciascun Componente della Commissione giudicatrice.</w:t>
      </w:r>
    </w:p>
    <w:p w14:paraId="23CFAED1" w14:textId="5A27A953" w:rsidR="00962DDF" w:rsidRPr="00096C38" w:rsidRDefault="00962DDF" w:rsidP="00962DDF">
      <w:pPr>
        <w:spacing w:before="120"/>
        <w:ind w:right="-1"/>
        <w:jc w:val="both"/>
        <w:rPr>
          <w:rFonts w:ascii="Arial" w:hAnsi="Arial" w:cs="Arial"/>
        </w:rPr>
      </w:pPr>
      <w:r w:rsidRPr="00096C38">
        <w:rPr>
          <w:rFonts w:ascii="Arial" w:hAnsi="Arial" w:cs="Arial"/>
        </w:rPr>
        <w:t xml:space="preserve">Roma, </w:t>
      </w:r>
      <w:r>
        <w:rPr>
          <w:rFonts w:ascii="Arial" w:hAnsi="Arial" w:cs="Arial"/>
        </w:rPr>
        <w:t xml:space="preserve">19 </w:t>
      </w:r>
      <w:proofErr w:type="gramStart"/>
      <w:r>
        <w:rPr>
          <w:rFonts w:ascii="Arial" w:hAnsi="Arial" w:cs="Arial"/>
        </w:rPr>
        <w:t>Aprile</w:t>
      </w:r>
      <w:proofErr w:type="gramEnd"/>
      <w:r>
        <w:rPr>
          <w:rFonts w:ascii="Arial" w:hAnsi="Arial" w:cs="Arial"/>
        </w:rPr>
        <w:t xml:space="preserve"> 2024</w:t>
      </w:r>
    </w:p>
    <w:p w14:paraId="71724D9B" w14:textId="77777777" w:rsidR="00962DDF" w:rsidRPr="00096C38" w:rsidRDefault="00962DDF" w:rsidP="00962DDF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962DDF" w:rsidRPr="00096C38" w14:paraId="3728DDC1" w14:textId="77777777" w:rsidTr="00B240BB">
        <w:trPr>
          <w:trHeight w:val="702"/>
        </w:trPr>
        <w:tc>
          <w:tcPr>
            <w:tcW w:w="4055" w:type="dxa"/>
          </w:tcPr>
          <w:p w14:paraId="491830AA" w14:textId="796CB4B2" w:rsidR="00962DDF" w:rsidRPr="00962DDF" w:rsidRDefault="00962DDF" w:rsidP="00B240BB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962DDF">
              <w:rPr>
                <w:rFonts w:ascii="Arial" w:hAnsi="Arial" w:cs="Arial"/>
                <w:sz w:val="20"/>
              </w:rPr>
              <w:t>Riccardo Meloni</w:t>
            </w:r>
          </w:p>
        </w:tc>
        <w:tc>
          <w:tcPr>
            <w:tcW w:w="5256" w:type="dxa"/>
          </w:tcPr>
          <w:p w14:paraId="400FBF40" w14:textId="77777777" w:rsidR="00962DDF" w:rsidRPr="00962DDF" w:rsidRDefault="00962DDF" w:rsidP="00B240BB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962DDF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962DDF" w:rsidRPr="00096C38" w14:paraId="5C14C234" w14:textId="77777777" w:rsidTr="00B240BB">
        <w:trPr>
          <w:trHeight w:val="709"/>
        </w:trPr>
        <w:tc>
          <w:tcPr>
            <w:tcW w:w="4055" w:type="dxa"/>
          </w:tcPr>
          <w:p w14:paraId="35D01758" w14:textId="0AE00864" w:rsidR="00962DDF" w:rsidRPr="00962DDF" w:rsidRDefault="00962DDF" w:rsidP="00B240BB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962DDF">
              <w:rPr>
                <w:rFonts w:ascii="Arial" w:hAnsi="Arial" w:cs="Arial"/>
                <w:sz w:val="20"/>
              </w:rPr>
              <w:t>Sergio Bernardini</w:t>
            </w:r>
          </w:p>
        </w:tc>
        <w:tc>
          <w:tcPr>
            <w:tcW w:w="5256" w:type="dxa"/>
          </w:tcPr>
          <w:p w14:paraId="0B1C69D5" w14:textId="77777777" w:rsidR="00962DDF" w:rsidRPr="00962DDF" w:rsidRDefault="00962DDF" w:rsidP="00B240BB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962DDF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962DDF" w:rsidRPr="00096C38" w14:paraId="448A426B" w14:textId="77777777" w:rsidTr="00B240BB">
        <w:trPr>
          <w:trHeight w:val="756"/>
        </w:trPr>
        <w:tc>
          <w:tcPr>
            <w:tcW w:w="4055" w:type="dxa"/>
          </w:tcPr>
          <w:p w14:paraId="236B3D14" w14:textId="2174525D" w:rsidR="00962DDF" w:rsidRPr="00962DDF" w:rsidRDefault="00962DDF" w:rsidP="00B240BB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962DDF">
              <w:rPr>
                <w:rFonts w:ascii="Arial" w:hAnsi="Arial" w:cs="Arial"/>
                <w:sz w:val="20"/>
              </w:rPr>
              <w:t>Matteo Masi</w:t>
            </w:r>
          </w:p>
        </w:tc>
        <w:tc>
          <w:tcPr>
            <w:tcW w:w="5256" w:type="dxa"/>
          </w:tcPr>
          <w:p w14:paraId="6412E93A" w14:textId="77777777" w:rsidR="00962DDF" w:rsidRPr="00962DDF" w:rsidRDefault="00962DDF" w:rsidP="00B240BB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962DDF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14:paraId="7FF8277E" w14:textId="7EDEBCDB" w:rsidR="00962DDF" w:rsidRDefault="000C4C7B" w:rsidP="00962DD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2DDF">
        <w:rPr>
          <w:rFonts w:ascii="Arial" w:hAnsi="Arial" w:cs="Arial"/>
        </w:rPr>
        <w:t>Luca Leonetti</w:t>
      </w:r>
    </w:p>
    <w:p w14:paraId="5F8E1A43" w14:textId="77777777" w:rsidR="00962DDF" w:rsidRDefault="00962DDF" w:rsidP="00962DDF">
      <w:pPr>
        <w:spacing w:before="120"/>
        <w:jc w:val="both"/>
        <w:rPr>
          <w:rFonts w:ascii="Arial" w:hAnsi="Arial" w:cs="Arial"/>
        </w:rPr>
      </w:pPr>
    </w:p>
    <w:p w14:paraId="32596256" w14:textId="694F344A" w:rsidR="00962DDF" w:rsidRPr="00096C38" w:rsidRDefault="000C4C7B" w:rsidP="00962DD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2DDF">
        <w:rPr>
          <w:rFonts w:ascii="Arial" w:hAnsi="Arial" w:cs="Arial"/>
        </w:rPr>
        <w:t>Gabriele Mannucci</w:t>
      </w:r>
    </w:p>
    <w:p w14:paraId="51923142" w14:textId="384C4743" w:rsidR="000C4C7B" w:rsidRPr="002D7512" w:rsidRDefault="00962DDF" w:rsidP="000C4C7B">
      <w:pPr>
        <w:spacing w:before="120"/>
        <w:ind w:right="-1"/>
        <w:jc w:val="both"/>
        <w:rPr>
          <w:rFonts w:ascii="Arial" w:hAnsi="Arial" w:cs="Arial"/>
          <w:b/>
          <w:bCs/>
        </w:rPr>
      </w:pPr>
      <w:r w:rsidRPr="00096C38">
        <w:rPr>
          <w:rFonts w:ascii="Arial" w:hAnsi="Arial" w:cs="Arial"/>
        </w:rPr>
        <w:br w:type="page"/>
      </w:r>
      <w:bookmarkStart w:id="4" w:name="_Hlk112927178"/>
      <w:bookmarkStart w:id="5" w:name="_Hlk149576870"/>
      <w:r w:rsidR="000C4C7B" w:rsidRPr="002D7512">
        <w:rPr>
          <w:rFonts w:ascii="Arial" w:hAnsi="Arial" w:cs="Arial"/>
          <w:b/>
          <w:bCs/>
        </w:rPr>
        <w:lastRenderedPageBreak/>
        <w:t>PROCEDURA TELEMATICA APERTA PER LA STIPULA DI UNA POLIZZA COLLETTIVA DI RIMBORSO SPESE SANITARIE A FAVORE DEL PERSONALE DIPENDENTE DI SPORT E SALUTE S.P.A., CONINET, NADO, PARCO DEL FORO ITALICO (PFI), COMITATO ITALIANO PARAOLIMPICO (CIP), FEDERAZIONI SPORTIVE NAZIONALI E FSN PARALIMPICHE DISCIPLINE SPORTIVE ASSOCIATE CHE ADOTTANO IL CCNL SPORT E SALUTE</w:t>
      </w:r>
    </w:p>
    <w:p w14:paraId="70788857" w14:textId="77777777" w:rsidR="000C4C7B" w:rsidRDefault="000C4C7B" w:rsidP="000C4C7B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2D7512">
        <w:rPr>
          <w:rFonts w:ascii="Arial" w:hAnsi="Arial" w:cs="Arial"/>
          <w:b/>
          <w:bCs/>
        </w:rPr>
        <w:t>R.A. 01_24_AD</w:t>
      </w:r>
    </w:p>
    <w:p w14:paraId="5623C5F4" w14:textId="5F71FF94" w:rsidR="008F16BA" w:rsidRPr="000C4C7B" w:rsidRDefault="008F16BA" w:rsidP="004B7BDE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caps/>
        </w:rPr>
      </w:pPr>
      <w:r w:rsidRPr="000C4C7B">
        <w:rPr>
          <w:rFonts w:ascii="Arial" w:hAnsi="Arial" w:cs="Arial"/>
          <w:b/>
          <w:u w:val="single"/>
        </w:rPr>
        <w:t xml:space="preserve">VERBALE PRIMA RIUNIONE </w:t>
      </w:r>
      <w:r w:rsidR="0049091C" w:rsidRPr="000C4C7B">
        <w:rPr>
          <w:rFonts w:ascii="Arial" w:hAnsi="Arial" w:cs="Arial"/>
          <w:b/>
          <w:u w:val="single"/>
        </w:rPr>
        <w:t>SEGGIO DI GARA</w:t>
      </w:r>
    </w:p>
    <w:p w14:paraId="356E0AB1" w14:textId="3825D4EA" w:rsidR="00565242" w:rsidRPr="000C4C7B" w:rsidRDefault="008B1031" w:rsidP="00565242">
      <w:p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 xml:space="preserve">Il giorno </w:t>
      </w:r>
      <w:r w:rsidR="000C4C7B" w:rsidRPr="000C4C7B">
        <w:rPr>
          <w:rFonts w:ascii="Arial" w:hAnsi="Arial" w:cs="Arial"/>
        </w:rPr>
        <w:t xml:space="preserve">22 </w:t>
      </w:r>
      <w:proofErr w:type="gramStart"/>
      <w:r w:rsidR="000C4C7B" w:rsidRPr="000C4C7B">
        <w:rPr>
          <w:rFonts w:ascii="Arial" w:hAnsi="Arial" w:cs="Arial"/>
        </w:rPr>
        <w:t>Aprile</w:t>
      </w:r>
      <w:proofErr w:type="gramEnd"/>
      <w:r w:rsidR="000C4C7B" w:rsidRPr="000C4C7B">
        <w:rPr>
          <w:rFonts w:ascii="Arial" w:hAnsi="Arial" w:cs="Arial"/>
        </w:rPr>
        <w:t xml:space="preserve"> 2024</w:t>
      </w:r>
      <w:r w:rsidR="00E227BC" w:rsidRPr="000C4C7B">
        <w:rPr>
          <w:rFonts w:ascii="Arial" w:hAnsi="Arial" w:cs="Arial"/>
        </w:rPr>
        <w:t xml:space="preserve"> </w:t>
      </w:r>
      <w:r w:rsidR="008F16BA" w:rsidRPr="000C4C7B">
        <w:rPr>
          <w:rFonts w:ascii="Arial" w:hAnsi="Arial" w:cs="Arial"/>
        </w:rPr>
        <w:t xml:space="preserve">alle ore </w:t>
      </w:r>
      <w:r w:rsidR="000C4C7B" w:rsidRPr="000C4C7B">
        <w:rPr>
          <w:rFonts w:ascii="Arial" w:hAnsi="Arial" w:cs="Arial"/>
        </w:rPr>
        <w:t>14:00</w:t>
      </w:r>
      <w:r w:rsidR="008F16BA" w:rsidRPr="000C4C7B">
        <w:rPr>
          <w:rFonts w:ascii="Arial" w:hAnsi="Arial" w:cs="Arial"/>
        </w:rPr>
        <w:t>, si è riunito</w:t>
      </w:r>
      <w:r w:rsidR="004B7BDE" w:rsidRPr="000C4C7B">
        <w:rPr>
          <w:rFonts w:ascii="Arial" w:hAnsi="Arial" w:cs="Arial"/>
        </w:rPr>
        <w:t>,</w:t>
      </w:r>
      <w:r w:rsidR="00CF3A70" w:rsidRPr="000C4C7B">
        <w:rPr>
          <w:rFonts w:ascii="Arial" w:hAnsi="Arial" w:cs="Arial"/>
        </w:rPr>
        <w:t xml:space="preserve"> in</w:t>
      </w:r>
      <w:r w:rsidR="00E25038" w:rsidRPr="000C4C7B">
        <w:rPr>
          <w:rFonts w:ascii="Arial" w:hAnsi="Arial" w:cs="Arial"/>
        </w:rPr>
        <w:t xml:space="preserve"> seduta </w:t>
      </w:r>
      <w:r w:rsidR="003B527A" w:rsidRPr="000C4C7B">
        <w:rPr>
          <w:rFonts w:ascii="Arial" w:hAnsi="Arial" w:cs="Arial"/>
        </w:rPr>
        <w:t>riservata</w:t>
      </w:r>
      <w:r w:rsidR="00565242" w:rsidRPr="000C4C7B">
        <w:rPr>
          <w:rFonts w:ascii="Arial" w:hAnsi="Arial" w:cs="Arial"/>
        </w:rPr>
        <w:t xml:space="preserve">, attraverso lo strumento di videochat telematica fornito dalla piattaforma Microsoft Teams, </w:t>
      </w:r>
      <w:r w:rsidR="0049091C" w:rsidRPr="000C4C7B">
        <w:rPr>
          <w:rFonts w:ascii="Arial" w:hAnsi="Arial" w:cs="Arial"/>
        </w:rPr>
        <w:t xml:space="preserve">il Seggio di gara </w:t>
      </w:r>
      <w:r w:rsidR="00565242" w:rsidRPr="000C4C7B">
        <w:rPr>
          <w:rFonts w:ascii="Arial" w:hAnsi="Arial" w:cs="Arial"/>
        </w:rPr>
        <w:t>come di seguito costituito:</w:t>
      </w:r>
    </w:p>
    <w:p w14:paraId="599CF51A" w14:textId="59076C78" w:rsidR="008F16BA" w:rsidRPr="000C4C7B" w:rsidRDefault="000C4C7B" w:rsidP="00CE0C7C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Fabio Martini</w:t>
      </w:r>
      <w:r w:rsidR="008F16BA" w:rsidRPr="000C4C7B">
        <w:rPr>
          <w:rFonts w:ascii="Arial" w:hAnsi="Arial" w:cs="Arial"/>
        </w:rPr>
        <w:tab/>
      </w:r>
      <w:r w:rsidR="008F16BA" w:rsidRPr="000C4C7B">
        <w:rPr>
          <w:rFonts w:ascii="Arial" w:hAnsi="Arial" w:cs="Arial"/>
        </w:rPr>
        <w:tab/>
        <w:t>Presidente</w:t>
      </w:r>
    </w:p>
    <w:p w14:paraId="7573C740" w14:textId="100FEBA8" w:rsidR="008F16BA" w:rsidRPr="000C4C7B" w:rsidRDefault="000C4C7B" w:rsidP="00CE0C7C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Luca Leonetti</w:t>
      </w:r>
      <w:r w:rsidR="00E25038" w:rsidRPr="000C4C7B">
        <w:rPr>
          <w:rFonts w:ascii="Arial" w:hAnsi="Arial" w:cs="Arial"/>
        </w:rPr>
        <w:tab/>
      </w:r>
      <w:r w:rsidR="008F16BA" w:rsidRPr="000C4C7B">
        <w:rPr>
          <w:rFonts w:ascii="Arial" w:hAnsi="Arial" w:cs="Arial"/>
        </w:rPr>
        <w:tab/>
        <w:t>Membro Componente</w:t>
      </w:r>
    </w:p>
    <w:p w14:paraId="75AFD629" w14:textId="1B615E68" w:rsidR="008F16BA" w:rsidRPr="000C4C7B" w:rsidRDefault="000C4C7B" w:rsidP="00CE0C7C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Gabriele Mannucci</w:t>
      </w:r>
      <w:r w:rsidR="007834A3" w:rsidRPr="000C4C7B">
        <w:rPr>
          <w:rFonts w:ascii="Arial" w:hAnsi="Arial" w:cs="Arial"/>
        </w:rPr>
        <w:tab/>
      </w:r>
      <w:r w:rsidR="008F16BA" w:rsidRPr="000C4C7B">
        <w:rPr>
          <w:rFonts w:ascii="Arial" w:hAnsi="Arial" w:cs="Arial"/>
        </w:rPr>
        <w:t xml:space="preserve">Membro Componente </w:t>
      </w:r>
    </w:p>
    <w:p w14:paraId="2B4F4BF2" w14:textId="301AA8DD" w:rsidR="004B7BDE" w:rsidRPr="000C4C7B" w:rsidRDefault="004B7BDE" w:rsidP="0028144A">
      <w:p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per l’apertura dell</w:t>
      </w:r>
      <w:r w:rsidR="00E56482" w:rsidRPr="000C4C7B">
        <w:rPr>
          <w:rFonts w:ascii="Arial" w:hAnsi="Arial" w:cs="Arial"/>
        </w:rPr>
        <w:t>a</w:t>
      </w:r>
      <w:r w:rsidRPr="000C4C7B">
        <w:rPr>
          <w:rFonts w:ascii="Arial" w:hAnsi="Arial" w:cs="Arial"/>
        </w:rPr>
        <w:t xml:space="preserve"> </w:t>
      </w:r>
      <w:r w:rsidR="00DB597A" w:rsidRPr="000C4C7B">
        <w:rPr>
          <w:rFonts w:ascii="Arial" w:hAnsi="Arial" w:cs="Arial"/>
        </w:rPr>
        <w:t>bust</w:t>
      </w:r>
      <w:r w:rsidR="00E56482" w:rsidRPr="000C4C7B">
        <w:rPr>
          <w:rFonts w:ascii="Arial" w:hAnsi="Arial" w:cs="Arial"/>
        </w:rPr>
        <w:t>a</w:t>
      </w:r>
      <w:r w:rsidR="00DB597A" w:rsidRPr="000C4C7B">
        <w:rPr>
          <w:rFonts w:ascii="Arial" w:hAnsi="Arial" w:cs="Arial"/>
        </w:rPr>
        <w:t xml:space="preserve"> chius</w:t>
      </w:r>
      <w:r w:rsidR="00E56482" w:rsidRPr="000C4C7B">
        <w:rPr>
          <w:rFonts w:ascii="Arial" w:hAnsi="Arial" w:cs="Arial"/>
        </w:rPr>
        <w:t>a</w:t>
      </w:r>
      <w:r w:rsidR="00DB597A" w:rsidRPr="000C4C7B">
        <w:rPr>
          <w:rFonts w:ascii="Arial" w:hAnsi="Arial" w:cs="Arial"/>
        </w:rPr>
        <w:t xml:space="preserve"> digital</w:t>
      </w:r>
      <w:r w:rsidR="00E56482" w:rsidRPr="000C4C7B">
        <w:rPr>
          <w:rFonts w:ascii="Arial" w:hAnsi="Arial" w:cs="Arial"/>
        </w:rPr>
        <w:t xml:space="preserve">e </w:t>
      </w:r>
      <w:r w:rsidRPr="000C4C7B">
        <w:rPr>
          <w:rFonts w:ascii="Arial" w:hAnsi="Arial" w:cs="Arial"/>
        </w:rPr>
        <w:t>contenent</w:t>
      </w:r>
      <w:r w:rsidR="00E56482" w:rsidRPr="000C4C7B">
        <w:rPr>
          <w:rFonts w:ascii="Arial" w:hAnsi="Arial" w:cs="Arial"/>
        </w:rPr>
        <w:t>i</w:t>
      </w:r>
      <w:r w:rsidRPr="000C4C7B">
        <w:rPr>
          <w:rFonts w:ascii="Arial" w:hAnsi="Arial" w:cs="Arial"/>
        </w:rPr>
        <w:t xml:space="preserve"> </w:t>
      </w:r>
      <w:r w:rsidR="0028144A" w:rsidRPr="000C4C7B">
        <w:rPr>
          <w:rFonts w:ascii="Arial" w:hAnsi="Arial" w:cs="Arial"/>
        </w:rPr>
        <w:t>i documenti amministrativi</w:t>
      </w:r>
      <w:r w:rsidR="0028138F" w:rsidRPr="000C4C7B">
        <w:rPr>
          <w:rFonts w:ascii="Arial" w:hAnsi="Arial" w:cs="Arial"/>
        </w:rPr>
        <w:t xml:space="preserve"> </w:t>
      </w:r>
      <w:r w:rsidR="0028144A" w:rsidRPr="000C4C7B">
        <w:rPr>
          <w:rFonts w:ascii="Arial" w:hAnsi="Arial" w:cs="Arial"/>
        </w:rPr>
        <w:t>inseriti da</w:t>
      </w:r>
      <w:r w:rsidR="00E56482" w:rsidRPr="000C4C7B">
        <w:rPr>
          <w:rFonts w:ascii="Arial" w:hAnsi="Arial" w:cs="Arial"/>
        </w:rPr>
        <w:t>ll’operatore economico primo in graduatoria (</w:t>
      </w:r>
      <w:r w:rsidR="000C4C7B" w:rsidRPr="000C4C7B">
        <w:rPr>
          <w:rFonts w:ascii="Arial" w:hAnsi="Arial" w:cs="Arial"/>
        </w:rPr>
        <w:t xml:space="preserve">Allianz 004 </w:t>
      </w:r>
      <w:proofErr w:type="spellStart"/>
      <w:r w:rsidR="000C4C7B" w:rsidRPr="000C4C7B">
        <w:rPr>
          <w:rFonts w:ascii="Arial" w:hAnsi="Arial" w:cs="Arial"/>
        </w:rPr>
        <w:t>SrL</w:t>
      </w:r>
      <w:proofErr w:type="spellEnd"/>
      <w:r w:rsidR="00E56482" w:rsidRPr="000C4C7B">
        <w:rPr>
          <w:rFonts w:ascii="Arial" w:hAnsi="Arial" w:cs="Arial"/>
        </w:rPr>
        <w:t>)</w:t>
      </w:r>
      <w:r w:rsidR="0028144A" w:rsidRPr="000C4C7B">
        <w:rPr>
          <w:rFonts w:ascii="Arial" w:hAnsi="Arial" w:cs="Arial"/>
        </w:rPr>
        <w:t>.</w:t>
      </w:r>
    </w:p>
    <w:p w14:paraId="26CFC064" w14:textId="507ED5E3" w:rsidR="00CA7D24" w:rsidRPr="000C4C7B" w:rsidRDefault="00CA7D24" w:rsidP="00CA7D24">
      <w:p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Svolge il ruolo di segretario:</w:t>
      </w:r>
      <w:r w:rsidR="000C4C7B">
        <w:rPr>
          <w:rFonts w:ascii="Arial" w:hAnsi="Arial" w:cs="Arial"/>
        </w:rPr>
        <w:t xml:space="preserve"> </w:t>
      </w:r>
      <w:r w:rsidR="000C4C7B" w:rsidRPr="000C4C7B">
        <w:rPr>
          <w:rFonts w:ascii="Arial" w:hAnsi="Arial" w:cs="Arial"/>
        </w:rPr>
        <w:t>Gabriele Mannucci</w:t>
      </w:r>
      <w:r w:rsidRPr="000C4C7B">
        <w:rPr>
          <w:rFonts w:ascii="Arial" w:hAnsi="Arial" w:cs="Arial"/>
        </w:rPr>
        <w:tab/>
      </w:r>
      <w:r w:rsidRPr="000C4C7B">
        <w:rPr>
          <w:rFonts w:ascii="Arial" w:hAnsi="Arial" w:cs="Arial"/>
        </w:rPr>
        <w:tab/>
      </w:r>
    </w:p>
    <w:p w14:paraId="759080DF" w14:textId="5C8628E5" w:rsidR="000D010A" w:rsidRPr="000C4C7B" w:rsidRDefault="000D010A" w:rsidP="000D010A">
      <w:pPr>
        <w:spacing w:before="120" w:after="120"/>
        <w:jc w:val="both"/>
        <w:rPr>
          <w:rFonts w:ascii="Arial" w:hAnsi="Arial" w:cs="Arial"/>
        </w:rPr>
      </w:pPr>
      <w:bookmarkStart w:id="6" w:name="_Hlk149589103"/>
      <w:r w:rsidRPr="000C4C7B">
        <w:rPr>
          <w:rFonts w:ascii="Arial" w:hAnsi="Arial" w:cs="Arial"/>
        </w:rPr>
        <w:t>Il Presidente del</w:t>
      </w:r>
      <w:r w:rsidR="00D425B0" w:rsidRPr="000C4C7B">
        <w:rPr>
          <w:rFonts w:ascii="Arial" w:hAnsi="Arial" w:cs="Arial"/>
        </w:rPr>
        <w:t xml:space="preserve"> Seggio di Gara</w:t>
      </w:r>
      <w:r w:rsidRPr="000C4C7B">
        <w:rPr>
          <w:rFonts w:ascii="Arial" w:hAnsi="Arial" w:cs="Arial"/>
        </w:rPr>
        <w:t xml:space="preserve"> procede, con le proprie credenziali:</w:t>
      </w:r>
    </w:p>
    <w:p w14:paraId="43ACE1A0" w14:textId="77777777" w:rsidR="000D010A" w:rsidRPr="000C4C7B" w:rsidRDefault="000D010A" w:rsidP="000D010A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all’apertura della busta chiusa digitale contenente la documentazione amministrativa trasmessa dall’operatore economico primo in graduatoria;</w:t>
      </w:r>
    </w:p>
    <w:p w14:paraId="5A587F48" w14:textId="77777777" w:rsidR="000D010A" w:rsidRPr="000C4C7B" w:rsidRDefault="000D010A" w:rsidP="000D010A">
      <w:pPr>
        <w:pStyle w:val="Paragrafoelenco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all’apertura dei report di firma digitale e di tutti i documenti inseriti, dallo stesso, nel sistema.</w:t>
      </w:r>
    </w:p>
    <w:p w14:paraId="5F37E27E" w14:textId="77777777" w:rsidR="007A6250" w:rsidRPr="000C4C7B" w:rsidRDefault="007A6250" w:rsidP="007A6250">
      <w:pPr>
        <w:spacing w:before="120"/>
        <w:ind w:right="-1"/>
        <w:jc w:val="both"/>
        <w:rPr>
          <w:rFonts w:ascii="Arial" w:hAnsi="Arial" w:cs="Arial"/>
        </w:rPr>
      </w:pPr>
    </w:p>
    <w:p w14:paraId="1017C3ED" w14:textId="14386235" w:rsidR="000D010A" w:rsidRPr="000C4C7B" w:rsidRDefault="00D425B0" w:rsidP="000D010A">
      <w:pPr>
        <w:spacing w:before="120" w:after="120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 xml:space="preserve">Il Seggio di Gara </w:t>
      </w:r>
      <w:r w:rsidR="000D010A" w:rsidRPr="000C4C7B">
        <w:rPr>
          <w:rFonts w:ascii="Arial" w:hAnsi="Arial" w:cs="Arial"/>
        </w:rPr>
        <w:t>riscontra quanto segue:</w:t>
      </w:r>
    </w:p>
    <w:tbl>
      <w:tblPr>
        <w:tblStyle w:val="Grigliatabella"/>
        <w:tblW w:w="4930" w:type="pct"/>
        <w:tblLook w:val="04A0" w:firstRow="1" w:lastRow="0" w:firstColumn="1" w:lastColumn="0" w:noHBand="0" w:noVBand="1"/>
      </w:tblPr>
      <w:tblGrid>
        <w:gridCol w:w="2503"/>
        <w:gridCol w:w="2503"/>
        <w:gridCol w:w="4487"/>
      </w:tblGrid>
      <w:tr w:rsidR="000D010A" w:rsidRPr="000C4C7B" w14:paraId="0C6BDFC2" w14:textId="77777777" w:rsidTr="0072341D">
        <w:tc>
          <w:tcPr>
            <w:tcW w:w="13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41B9C" w14:textId="77777777" w:rsidR="000D010A" w:rsidRPr="000C4C7B" w:rsidRDefault="000D010A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C4C7B">
              <w:rPr>
                <w:rFonts w:ascii="Arial" w:hAnsi="Arial" w:cs="Arial"/>
                <w:b/>
                <w:bCs/>
              </w:rPr>
              <w:t>Forma di partecipazione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641892" w14:textId="77777777" w:rsidR="000D010A" w:rsidRPr="000C4C7B" w:rsidRDefault="000D010A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C4C7B">
              <w:rPr>
                <w:rFonts w:ascii="Arial" w:hAnsi="Arial" w:cs="Arial"/>
                <w:b/>
                <w:bCs/>
              </w:rPr>
              <w:t>Irregolarità riscontrate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0F7E45" w14:textId="77777777" w:rsidR="000D010A" w:rsidRPr="000C4C7B" w:rsidRDefault="000D010A" w:rsidP="000D01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C4C7B"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0D010A" w:rsidRPr="000C4C7B" w14:paraId="39C681DA" w14:textId="77777777" w:rsidTr="00C27E37">
        <w:tc>
          <w:tcPr>
            <w:tcW w:w="1318" w:type="pct"/>
            <w:tcBorders>
              <w:bottom w:val="single" w:sz="4" w:space="0" w:color="auto"/>
            </w:tcBorders>
          </w:tcPr>
          <w:p w14:paraId="5B3F3470" w14:textId="77777777" w:rsidR="000D010A" w:rsidRPr="000C4C7B" w:rsidRDefault="000C4C7B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C4C7B">
              <w:rPr>
                <w:rFonts w:ascii="Arial" w:hAnsi="Arial" w:cs="Arial"/>
              </w:rPr>
              <w:t>Co Assicurazione:</w:t>
            </w:r>
          </w:p>
          <w:p w14:paraId="758A33FD" w14:textId="77777777" w:rsidR="000C4C7B" w:rsidRPr="000C4C7B" w:rsidRDefault="000C4C7B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18F366" w14:textId="77777777" w:rsidR="000C4C7B" w:rsidRPr="000C4C7B" w:rsidRDefault="000C4C7B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C4C7B">
              <w:rPr>
                <w:rFonts w:ascii="Arial" w:hAnsi="Arial" w:cs="Arial"/>
              </w:rPr>
              <w:t>Allianz 70 %</w:t>
            </w:r>
          </w:p>
          <w:p w14:paraId="2173BBEB" w14:textId="3B16CAF4" w:rsidR="000C4C7B" w:rsidRPr="000C4C7B" w:rsidRDefault="000C4C7B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C4C7B">
              <w:rPr>
                <w:rFonts w:ascii="Arial" w:hAnsi="Arial" w:cs="Arial"/>
              </w:rPr>
              <w:t>RBM Salute 30%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6FFCE0D0" w14:textId="4D90F9E6" w:rsidR="000D010A" w:rsidRPr="000C4C7B" w:rsidRDefault="000D010A" w:rsidP="000D010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C4C7B">
              <w:rPr>
                <w:rFonts w:ascii="Arial" w:hAnsi="Arial" w:cs="Arial"/>
              </w:rPr>
              <w:t xml:space="preserve">Nessuna </w:t>
            </w:r>
          </w:p>
        </w:tc>
        <w:tc>
          <w:tcPr>
            <w:tcW w:w="2363" w:type="pct"/>
            <w:tcBorders>
              <w:bottom w:val="single" w:sz="4" w:space="0" w:color="auto"/>
            </w:tcBorders>
          </w:tcPr>
          <w:p w14:paraId="636F240A" w14:textId="77777777" w:rsidR="000D010A" w:rsidRPr="000C4C7B" w:rsidRDefault="000D010A" w:rsidP="000C4C7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68A5823" w14:textId="1812B7F2" w:rsidR="000D010A" w:rsidRPr="000C4C7B" w:rsidRDefault="000D010A" w:rsidP="000D010A">
      <w:pPr>
        <w:spacing w:before="120" w:after="120"/>
        <w:jc w:val="both"/>
        <w:rPr>
          <w:rFonts w:ascii="Arial" w:hAnsi="Arial" w:cs="Arial"/>
        </w:rPr>
      </w:pPr>
      <w:bookmarkStart w:id="7" w:name="_Hlk149578170"/>
      <w:r w:rsidRPr="000C4C7B">
        <w:rPr>
          <w:rFonts w:ascii="Arial" w:hAnsi="Arial" w:cs="Arial"/>
        </w:rPr>
        <w:t>Terminate le operazioni di cui sopra il Presidente del</w:t>
      </w:r>
      <w:r w:rsidR="00D425B0" w:rsidRPr="000C4C7B">
        <w:rPr>
          <w:rFonts w:ascii="Arial" w:hAnsi="Arial" w:cs="Arial"/>
        </w:rPr>
        <w:t xml:space="preserve"> Seggio di Gara </w:t>
      </w:r>
      <w:r w:rsidRPr="000C4C7B">
        <w:rPr>
          <w:rFonts w:ascii="Arial" w:hAnsi="Arial" w:cs="Arial"/>
        </w:rPr>
        <w:t xml:space="preserve">dichiara conclusa la seduta alle ore </w:t>
      </w:r>
      <w:bookmarkStart w:id="8" w:name="_Hlk149589692"/>
      <w:r w:rsidR="000C4C7B">
        <w:rPr>
          <w:rFonts w:ascii="Arial" w:hAnsi="Arial" w:cs="Arial"/>
        </w:rPr>
        <w:t xml:space="preserve">15:00 </w:t>
      </w:r>
      <w:bookmarkEnd w:id="8"/>
    </w:p>
    <w:p w14:paraId="64641E1D" w14:textId="3461226A" w:rsidR="000D010A" w:rsidRPr="000C4C7B" w:rsidRDefault="000D010A" w:rsidP="000D010A">
      <w:pPr>
        <w:spacing w:before="120"/>
        <w:ind w:right="-1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>Di quanto sopra, è redatto il presente verbale, che viene sottoscritto da ciascun Componente del</w:t>
      </w:r>
      <w:r w:rsidR="00D425B0" w:rsidRPr="000C4C7B">
        <w:rPr>
          <w:rFonts w:ascii="Arial" w:hAnsi="Arial" w:cs="Arial"/>
        </w:rPr>
        <w:t xml:space="preserve"> Seggio di Gara</w:t>
      </w:r>
      <w:r w:rsidRPr="000C4C7B">
        <w:rPr>
          <w:rFonts w:ascii="Arial" w:hAnsi="Arial" w:cs="Arial"/>
        </w:rPr>
        <w:t>.</w:t>
      </w:r>
    </w:p>
    <w:p w14:paraId="6FE431D9" w14:textId="2B68791E" w:rsidR="000D010A" w:rsidRPr="000C4C7B" w:rsidRDefault="000D010A" w:rsidP="000D010A">
      <w:pPr>
        <w:spacing w:before="120"/>
        <w:ind w:right="-1"/>
        <w:jc w:val="both"/>
        <w:rPr>
          <w:rFonts w:ascii="Arial" w:hAnsi="Arial" w:cs="Arial"/>
        </w:rPr>
      </w:pPr>
      <w:r w:rsidRPr="000C4C7B">
        <w:rPr>
          <w:rFonts w:ascii="Arial" w:hAnsi="Arial" w:cs="Arial"/>
        </w:rPr>
        <w:t xml:space="preserve">Roma, </w:t>
      </w:r>
      <w:r w:rsidR="000C4C7B">
        <w:rPr>
          <w:rFonts w:ascii="Arial" w:hAnsi="Arial" w:cs="Arial"/>
        </w:rPr>
        <w:t xml:space="preserve">22 </w:t>
      </w:r>
      <w:proofErr w:type="gramStart"/>
      <w:r w:rsidR="000C4C7B">
        <w:rPr>
          <w:rFonts w:ascii="Arial" w:hAnsi="Arial" w:cs="Arial"/>
        </w:rPr>
        <w:t>Aprile</w:t>
      </w:r>
      <w:proofErr w:type="gramEnd"/>
      <w:r w:rsidR="000C4C7B">
        <w:rPr>
          <w:rFonts w:ascii="Arial" w:hAnsi="Arial" w:cs="Arial"/>
        </w:rPr>
        <w:t xml:space="preserve"> 2024</w:t>
      </w:r>
    </w:p>
    <w:p w14:paraId="20594094" w14:textId="77777777" w:rsidR="000D010A" w:rsidRPr="000C4C7B" w:rsidRDefault="000D010A" w:rsidP="000D010A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5256"/>
      </w:tblGrid>
      <w:tr w:rsidR="000D010A" w:rsidRPr="000C4C7B" w14:paraId="2585B251" w14:textId="77777777" w:rsidTr="000D010A">
        <w:trPr>
          <w:trHeight w:val="702"/>
        </w:trPr>
        <w:tc>
          <w:tcPr>
            <w:tcW w:w="4055" w:type="dxa"/>
          </w:tcPr>
          <w:p w14:paraId="1B0F333A" w14:textId="6120D7BC" w:rsidR="000D010A" w:rsidRPr="000C4C7B" w:rsidRDefault="000C4C7B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Fabio Martini</w:t>
            </w:r>
          </w:p>
        </w:tc>
        <w:tc>
          <w:tcPr>
            <w:tcW w:w="5256" w:type="dxa"/>
          </w:tcPr>
          <w:p w14:paraId="312CFA29" w14:textId="77777777" w:rsidR="000D010A" w:rsidRPr="000C4C7B" w:rsidRDefault="000D010A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0C4C7B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0D010A" w:rsidRPr="000C4C7B" w14:paraId="3CC9FCF3" w14:textId="77777777" w:rsidTr="000D010A">
        <w:trPr>
          <w:trHeight w:val="709"/>
        </w:trPr>
        <w:tc>
          <w:tcPr>
            <w:tcW w:w="4055" w:type="dxa"/>
          </w:tcPr>
          <w:p w14:paraId="1516827A" w14:textId="76FD26C1" w:rsidR="000D010A" w:rsidRPr="000C4C7B" w:rsidRDefault="000C4C7B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 Leonetti</w:t>
            </w:r>
          </w:p>
        </w:tc>
        <w:tc>
          <w:tcPr>
            <w:tcW w:w="5256" w:type="dxa"/>
          </w:tcPr>
          <w:p w14:paraId="1B984CE0" w14:textId="77777777" w:rsidR="000D010A" w:rsidRPr="000C4C7B" w:rsidRDefault="000D010A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0C4C7B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0D010A" w:rsidRPr="00096C38" w14:paraId="1E406BE6" w14:textId="77777777" w:rsidTr="000D010A">
        <w:trPr>
          <w:trHeight w:val="756"/>
        </w:trPr>
        <w:tc>
          <w:tcPr>
            <w:tcW w:w="4055" w:type="dxa"/>
          </w:tcPr>
          <w:p w14:paraId="2BF9CC5F" w14:textId="7455E939" w:rsidR="000D010A" w:rsidRPr="000C4C7B" w:rsidRDefault="000C4C7B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Gabriele Mannucci</w:t>
            </w:r>
          </w:p>
        </w:tc>
        <w:tc>
          <w:tcPr>
            <w:tcW w:w="5256" w:type="dxa"/>
          </w:tcPr>
          <w:p w14:paraId="2922270A" w14:textId="77777777" w:rsidR="000D010A" w:rsidRPr="000C4C7B" w:rsidRDefault="000D010A" w:rsidP="000D010A">
            <w:pPr>
              <w:pStyle w:val="Corpodeltesto2"/>
              <w:spacing w:before="240" w:after="240"/>
              <w:ind w:right="284"/>
              <w:jc w:val="both"/>
              <w:rPr>
                <w:rFonts w:ascii="Arial" w:hAnsi="Arial" w:cs="Arial"/>
                <w:sz w:val="20"/>
              </w:rPr>
            </w:pPr>
            <w:r w:rsidRPr="000C4C7B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bookmarkEnd w:id="6"/>
      <w:bookmarkEnd w:id="7"/>
    </w:tbl>
    <w:p w14:paraId="2878120D" w14:textId="77777777" w:rsidR="000D010A" w:rsidRPr="00096C38" w:rsidRDefault="000D010A" w:rsidP="000C4C7B">
      <w:pPr>
        <w:spacing w:before="120"/>
        <w:jc w:val="both"/>
        <w:rPr>
          <w:rFonts w:ascii="Arial" w:hAnsi="Arial" w:cs="Arial"/>
        </w:rPr>
      </w:pPr>
    </w:p>
    <w:bookmarkEnd w:id="5"/>
    <w:bookmarkEnd w:id="4"/>
    <w:sectPr w:rsidR="000D010A" w:rsidRPr="00096C38" w:rsidSect="00CF3A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134" w:left="1134" w:header="720" w:footer="5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88C95" w14:textId="77777777" w:rsidR="00A57923" w:rsidRDefault="00A57923">
      <w:r>
        <w:separator/>
      </w:r>
    </w:p>
  </w:endnote>
  <w:endnote w:type="continuationSeparator" w:id="0">
    <w:p w14:paraId="223EDF67" w14:textId="77777777" w:rsidR="00A57923" w:rsidRDefault="00A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37B99" w14:textId="77777777" w:rsidR="000D010A" w:rsidRDefault="000D010A" w:rsidP="001540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97419" w14:textId="77777777" w:rsidR="000D010A" w:rsidRDefault="000D010A" w:rsidP="00F84F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D7110" w14:textId="20613E30" w:rsidR="000D010A" w:rsidRPr="00C91087" w:rsidRDefault="000D010A" w:rsidP="0015406B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C91087">
      <w:rPr>
        <w:rStyle w:val="Numeropagina"/>
        <w:rFonts w:ascii="Arial" w:hAnsi="Arial" w:cs="Arial"/>
        <w:sz w:val="18"/>
        <w:szCs w:val="18"/>
      </w:rPr>
      <w:fldChar w:fldCharType="begin"/>
    </w:r>
    <w:r w:rsidRPr="00C91087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C91087">
      <w:rPr>
        <w:rStyle w:val="Numeropagina"/>
        <w:rFonts w:ascii="Arial" w:hAnsi="Arial" w:cs="Arial"/>
        <w:sz w:val="18"/>
        <w:szCs w:val="18"/>
      </w:rPr>
      <w:fldChar w:fldCharType="separate"/>
    </w:r>
    <w:r w:rsidRPr="00C91087">
      <w:rPr>
        <w:rStyle w:val="Numeropagina"/>
        <w:rFonts w:ascii="Arial" w:hAnsi="Arial" w:cs="Arial"/>
        <w:noProof/>
        <w:sz w:val="18"/>
        <w:szCs w:val="18"/>
      </w:rPr>
      <w:t>2</w:t>
    </w:r>
    <w:r w:rsidRPr="00C91087">
      <w:rPr>
        <w:rStyle w:val="Numeropagina"/>
        <w:rFonts w:ascii="Arial" w:hAnsi="Arial"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</w:t>
    </w:r>
  </w:p>
  <w:p w14:paraId="05F7356D" w14:textId="77777777" w:rsidR="000D010A" w:rsidRDefault="000D010A" w:rsidP="00DD6736">
    <w:pPr>
      <w:spacing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C0B82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>Sport e salute S.p.A.</w:t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  <w:r w:rsidRPr="00CA0AD3">
      <w:rPr>
        <w:rFonts w:ascii="Calibri" w:hAnsi="Calibri" w:cs="Calibri"/>
        <w:color w:val="182949"/>
        <w:sz w:val="14"/>
        <w:szCs w:val="14"/>
      </w:rPr>
      <w:tab/>
    </w:r>
  </w:p>
  <w:p w14:paraId="11A24D2D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>Sede legale: 00135 Roma, Largo Lauro de Bosis, 15</w:t>
    </w:r>
  </w:p>
  <w:p w14:paraId="1A776DC0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 xml:space="preserve">Telefono +39 06.36851 </w:t>
    </w:r>
  </w:p>
  <w:p w14:paraId="72BA0D47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 xml:space="preserve">C.F. P.IVA e </w:t>
    </w:r>
    <w:proofErr w:type="spellStart"/>
    <w:r w:rsidRPr="00CA0AD3">
      <w:rPr>
        <w:rFonts w:ascii="Calibri" w:hAnsi="Calibri" w:cs="Calibri"/>
        <w:color w:val="182949"/>
        <w:sz w:val="14"/>
        <w:szCs w:val="14"/>
      </w:rPr>
      <w:t>Iscr</w:t>
    </w:r>
    <w:proofErr w:type="spellEnd"/>
    <w:r w:rsidRPr="00CA0AD3">
      <w:rPr>
        <w:rFonts w:ascii="Calibri" w:hAnsi="Calibri" w:cs="Calibri"/>
        <w:color w:val="182949"/>
        <w:sz w:val="14"/>
        <w:szCs w:val="14"/>
      </w:rPr>
      <w:t>. Reg. Imprese di Roma 07207761003</w:t>
    </w:r>
  </w:p>
  <w:p w14:paraId="669C5547" w14:textId="77777777" w:rsidR="000D010A" w:rsidRPr="00CA0AD3" w:rsidRDefault="000D010A" w:rsidP="00CA0AD3">
    <w:pPr>
      <w:spacing w:line="180" w:lineRule="exact"/>
      <w:rPr>
        <w:rFonts w:ascii="Calibri" w:hAnsi="Calibri" w:cs="Calibri"/>
        <w:color w:val="182949"/>
        <w:sz w:val="14"/>
        <w:szCs w:val="14"/>
      </w:rPr>
    </w:pPr>
    <w:r w:rsidRPr="00CA0AD3">
      <w:rPr>
        <w:rFonts w:ascii="Calibri" w:hAnsi="Calibri" w:cs="Calibri"/>
        <w:color w:val="182949"/>
        <w:sz w:val="14"/>
        <w:szCs w:val="14"/>
      </w:rPr>
      <w:t xml:space="preserve">Capitale sociale € 1.000.000  </w:t>
    </w:r>
  </w:p>
  <w:p w14:paraId="168061A2" w14:textId="77777777" w:rsidR="000D010A" w:rsidRPr="00CA0AD3" w:rsidRDefault="000D010A" w:rsidP="00CA0AD3">
    <w:pPr>
      <w:spacing w:line="180" w:lineRule="exact"/>
      <w:rPr>
        <w:rFonts w:ascii="Calibri" w:hAnsi="Calibri"/>
        <w:sz w:val="22"/>
        <w:szCs w:val="22"/>
        <w:lang w:eastAsia="en-US"/>
      </w:rPr>
    </w:pPr>
    <w:r w:rsidRPr="00CA0AD3">
      <w:rPr>
        <w:rFonts w:ascii="Calibri" w:hAnsi="Calibri" w:cs="Calibri"/>
        <w:color w:val="182949"/>
        <w:sz w:val="14"/>
        <w:szCs w:val="14"/>
        <w:lang w:eastAsia="en-US"/>
      </w:rPr>
      <w:t>Società per azioni con socio unico</w:t>
    </w:r>
  </w:p>
  <w:p w14:paraId="562E3959" w14:textId="77777777" w:rsidR="000D010A" w:rsidRDefault="000D010A" w:rsidP="00CA0AD3">
    <w:pPr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39E16" w14:textId="77777777" w:rsidR="00A57923" w:rsidRDefault="00A57923">
      <w:r>
        <w:separator/>
      </w:r>
    </w:p>
  </w:footnote>
  <w:footnote w:type="continuationSeparator" w:id="0">
    <w:p w14:paraId="39EBF04D" w14:textId="77777777" w:rsidR="00A57923" w:rsidRDefault="00A5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8D5F" w14:textId="5550631F" w:rsidR="000D010A" w:rsidRDefault="000D010A" w:rsidP="007B69F7">
    <w:pPr>
      <w:pStyle w:val="Intestazione"/>
      <w:tabs>
        <w:tab w:val="clear" w:pos="4819"/>
        <w:tab w:val="clear" w:pos="9638"/>
        <w:tab w:val="left" w:pos="3740"/>
      </w:tabs>
    </w:pPr>
    <w:r>
      <w:rPr>
        <w:noProof/>
        <w:sz w:val="2"/>
        <w:szCs w:val="2"/>
      </w:rPr>
      <w:drawing>
        <wp:inline distT="0" distB="0" distL="0" distR="0" wp14:anchorId="07F7810B" wp14:editId="3D1E423C">
          <wp:extent cx="1043940" cy="355812"/>
          <wp:effectExtent l="0" t="0" r="381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36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57F337A" w14:textId="77777777" w:rsidR="000D010A" w:rsidRDefault="000D010A" w:rsidP="007B69F7">
    <w:pPr>
      <w:pStyle w:val="Intestazione"/>
      <w:tabs>
        <w:tab w:val="clear" w:pos="4819"/>
        <w:tab w:val="clear" w:pos="9638"/>
        <w:tab w:val="left" w:pos="3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BCCE5" w14:textId="06742B48" w:rsidR="000D010A" w:rsidRDefault="000D010A">
    <w:pPr>
      <w:pStyle w:val="Intestazione"/>
    </w:pPr>
    <w:r>
      <w:rPr>
        <w:noProof/>
        <w:sz w:val="2"/>
        <w:szCs w:val="2"/>
      </w:rPr>
      <w:drawing>
        <wp:inline distT="0" distB="0" distL="0" distR="0" wp14:anchorId="31AD22ED" wp14:editId="5A21B9A9">
          <wp:extent cx="1043940" cy="355812"/>
          <wp:effectExtent l="0" t="0" r="3810" b="635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36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01415" w14:textId="77777777" w:rsidR="000D010A" w:rsidRDefault="000D01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C01"/>
    <w:multiLevelType w:val="hybridMultilevel"/>
    <w:tmpl w:val="745EBF90"/>
    <w:lvl w:ilvl="0" w:tplc="F938630A">
      <w:numFmt w:val="bullet"/>
      <w:lvlText w:val="-"/>
      <w:lvlJc w:val="left"/>
      <w:pPr>
        <w:ind w:left="1440" w:hanging="360"/>
      </w:pPr>
      <w:rPr>
        <w:rFonts w:ascii="Verdana Pro" w:eastAsia="Times New Roman" w:hAnsi="Verdana Pro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A7429"/>
    <w:multiLevelType w:val="hybridMultilevel"/>
    <w:tmpl w:val="FDA6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1C9"/>
    <w:multiLevelType w:val="hybridMultilevel"/>
    <w:tmpl w:val="ED7AFD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80B"/>
    <w:multiLevelType w:val="hybridMultilevel"/>
    <w:tmpl w:val="FDA6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051"/>
    <w:multiLevelType w:val="hybridMultilevel"/>
    <w:tmpl w:val="250C9D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F79"/>
    <w:multiLevelType w:val="hybridMultilevel"/>
    <w:tmpl w:val="FDA6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26D10"/>
    <w:multiLevelType w:val="hybridMultilevel"/>
    <w:tmpl w:val="96BE8D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376D"/>
    <w:multiLevelType w:val="hybridMultilevel"/>
    <w:tmpl w:val="0CACA8A4"/>
    <w:lvl w:ilvl="0" w:tplc="DBBC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50C"/>
    <w:multiLevelType w:val="hybridMultilevel"/>
    <w:tmpl w:val="AA506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9AA"/>
    <w:multiLevelType w:val="hybridMultilevel"/>
    <w:tmpl w:val="E78A1652"/>
    <w:lvl w:ilvl="0" w:tplc="DBBC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3A64"/>
    <w:multiLevelType w:val="hybridMultilevel"/>
    <w:tmpl w:val="B284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524"/>
    <w:multiLevelType w:val="hybridMultilevel"/>
    <w:tmpl w:val="C8FAA506"/>
    <w:lvl w:ilvl="0" w:tplc="8B9AF8F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7716"/>
    <w:multiLevelType w:val="hybridMultilevel"/>
    <w:tmpl w:val="290AE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7685B"/>
    <w:multiLevelType w:val="hybridMultilevel"/>
    <w:tmpl w:val="92EE3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5374"/>
    <w:multiLevelType w:val="hybridMultilevel"/>
    <w:tmpl w:val="C1C895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230587">
    <w:abstractNumId w:val="5"/>
  </w:num>
  <w:num w:numId="2" w16cid:durableId="228927288">
    <w:abstractNumId w:val="7"/>
  </w:num>
  <w:num w:numId="3" w16cid:durableId="813915080">
    <w:abstractNumId w:val="2"/>
  </w:num>
  <w:num w:numId="4" w16cid:durableId="1485242865">
    <w:abstractNumId w:val="3"/>
  </w:num>
  <w:num w:numId="5" w16cid:durableId="113183056">
    <w:abstractNumId w:val="8"/>
  </w:num>
  <w:num w:numId="6" w16cid:durableId="1736469203">
    <w:abstractNumId w:val="1"/>
  </w:num>
  <w:num w:numId="7" w16cid:durableId="1493763948">
    <w:abstractNumId w:val="14"/>
  </w:num>
  <w:num w:numId="8" w16cid:durableId="1342314676">
    <w:abstractNumId w:val="11"/>
  </w:num>
  <w:num w:numId="9" w16cid:durableId="2076391010">
    <w:abstractNumId w:val="6"/>
  </w:num>
  <w:num w:numId="10" w16cid:durableId="440271539">
    <w:abstractNumId w:val="12"/>
  </w:num>
  <w:num w:numId="11" w16cid:durableId="364522691">
    <w:abstractNumId w:val="0"/>
  </w:num>
  <w:num w:numId="12" w16cid:durableId="1895850586">
    <w:abstractNumId w:val="4"/>
  </w:num>
  <w:num w:numId="13" w16cid:durableId="1082724062">
    <w:abstractNumId w:val="13"/>
  </w:num>
  <w:num w:numId="14" w16cid:durableId="846988242">
    <w:abstractNumId w:val="10"/>
  </w:num>
  <w:num w:numId="15" w16cid:durableId="5504592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DD"/>
    <w:rsid w:val="00000D4C"/>
    <w:rsid w:val="000052CD"/>
    <w:rsid w:val="000127C7"/>
    <w:rsid w:val="0001498C"/>
    <w:rsid w:val="00020635"/>
    <w:rsid w:val="00026F5A"/>
    <w:rsid w:val="0002744F"/>
    <w:rsid w:val="00027AE6"/>
    <w:rsid w:val="00027B4A"/>
    <w:rsid w:val="00031F33"/>
    <w:rsid w:val="0003345A"/>
    <w:rsid w:val="00033462"/>
    <w:rsid w:val="00033A14"/>
    <w:rsid w:val="0003731C"/>
    <w:rsid w:val="00041522"/>
    <w:rsid w:val="000418D1"/>
    <w:rsid w:val="00045964"/>
    <w:rsid w:val="00047652"/>
    <w:rsid w:val="0005372C"/>
    <w:rsid w:val="000570C7"/>
    <w:rsid w:val="00063971"/>
    <w:rsid w:val="00064E9B"/>
    <w:rsid w:val="000650B2"/>
    <w:rsid w:val="00070173"/>
    <w:rsid w:val="00070C7E"/>
    <w:rsid w:val="000729A6"/>
    <w:rsid w:val="00072A46"/>
    <w:rsid w:val="00072BC4"/>
    <w:rsid w:val="0008026C"/>
    <w:rsid w:val="000807D8"/>
    <w:rsid w:val="0008179B"/>
    <w:rsid w:val="00083254"/>
    <w:rsid w:val="000837E7"/>
    <w:rsid w:val="00092161"/>
    <w:rsid w:val="0009684E"/>
    <w:rsid w:val="00096C38"/>
    <w:rsid w:val="000A06C3"/>
    <w:rsid w:val="000A12A2"/>
    <w:rsid w:val="000A2B83"/>
    <w:rsid w:val="000A6EE1"/>
    <w:rsid w:val="000A7064"/>
    <w:rsid w:val="000B011C"/>
    <w:rsid w:val="000B1ED7"/>
    <w:rsid w:val="000B4DF0"/>
    <w:rsid w:val="000B5C95"/>
    <w:rsid w:val="000B6E4E"/>
    <w:rsid w:val="000B782F"/>
    <w:rsid w:val="000C1473"/>
    <w:rsid w:val="000C1868"/>
    <w:rsid w:val="000C1B03"/>
    <w:rsid w:val="000C3E02"/>
    <w:rsid w:val="000C4605"/>
    <w:rsid w:val="000C46C9"/>
    <w:rsid w:val="000C49E1"/>
    <w:rsid w:val="000C4C7B"/>
    <w:rsid w:val="000C7588"/>
    <w:rsid w:val="000D010A"/>
    <w:rsid w:val="000D5513"/>
    <w:rsid w:val="000D59F2"/>
    <w:rsid w:val="000E3945"/>
    <w:rsid w:val="000E6540"/>
    <w:rsid w:val="000F5842"/>
    <w:rsid w:val="000F6651"/>
    <w:rsid w:val="001001B7"/>
    <w:rsid w:val="00107F0C"/>
    <w:rsid w:val="00114ED1"/>
    <w:rsid w:val="001235DA"/>
    <w:rsid w:val="00125909"/>
    <w:rsid w:val="00127353"/>
    <w:rsid w:val="00135E05"/>
    <w:rsid w:val="001360ED"/>
    <w:rsid w:val="001465EE"/>
    <w:rsid w:val="00152466"/>
    <w:rsid w:val="00152A0A"/>
    <w:rsid w:val="0015406B"/>
    <w:rsid w:val="00155512"/>
    <w:rsid w:val="001560C4"/>
    <w:rsid w:val="00162321"/>
    <w:rsid w:val="00163149"/>
    <w:rsid w:val="0017741A"/>
    <w:rsid w:val="00177521"/>
    <w:rsid w:val="00181A39"/>
    <w:rsid w:val="00182871"/>
    <w:rsid w:val="00182A10"/>
    <w:rsid w:val="00182B3F"/>
    <w:rsid w:val="00183DE7"/>
    <w:rsid w:val="00184730"/>
    <w:rsid w:val="00192816"/>
    <w:rsid w:val="00193C2A"/>
    <w:rsid w:val="001A1A9B"/>
    <w:rsid w:val="001A3812"/>
    <w:rsid w:val="001A5598"/>
    <w:rsid w:val="001B2535"/>
    <w:rsid w:val="001B6A16"/>
    <w:rsid w:val="001C17D5"/>
    <w:rsid w:val="001C251D"/>
    <w:rsid w:val="001C3117"/>
    <w:rsid w:val="001C4347"/>
    <w:rsid w:val="001D39FB"/>
    <w:rsid w:val="001D6482"/>
    <w:rsid w:val="001E51D7"/>
    <w:rsid w:val="001F23B6"/>
    <w:rsid w:val="001F2E06"/>
    <w:rsid w:val="001F41E8"/>
    <w:rsid w:val="001F5A91"/>
    <w:rsid w:val="001F71AB"/>
    <w:rsid w:val="0020275C"/>
    <w:rsid w:val="00206152"/>
    <w:rsid w:val="002062D4"/>
    <w:rsid w:val="0020734E"/>
    <w:rsid w:val="0021169A"/>
    <w:rsid w:val="0021554A"/>
    <w:rsid w:val="002168A3"/>
    <w:rsid w:val="00216F12"/>
    <w:rsid w:val="002176E7"/>
    <w:rsid w:val="00217B0A"/>
    <w:rsid w:val="00217CDC"/>
    <w:rsid w:val="002210BC"/>
    <w:rsid w:val="0022653A"/>
    <w:rsid w:val="00232F03"/>
    <w:rsid w:val="00233113"/>
    <w:rsid w:val="00235B2A"/>
    <w:rsid w:val="00236F06"/>
    <w:rsid w:val="00243061"/>
    <w:rsid w:val="00247CF4"/>
    <w:rsid w:val="002516CB"/>
    <w:rsid w:val="002543DD"/>
    <w:rsid w:val="002623A9"/>
    <w:rsid w:val="00263A38"/>
    <w:rsid w:val="002650EF"/>
    <w:rsid w:val="00265C0C"/>
    <w:rsid w:val="0026638A"/>
    <w:rsid w:val="0026670B"/>
    <w:rsid w:val="0026676B"/>
    <w:rsid w:val="00271CC2"/>
    <w:rsid w:val="00272817"/>
    <w:rsid w:val="002730FD"/>
    <w:rsid w:val="00273256"/>
    <w:rsid w:val="00277365"/>
    <w:rsid w:val="0028138F"/>
    <w:rsid w:val="0028144A"/>
    <w:rsid w:val="00293DD2"/>
    <w:rsid w:val="0029736E"/>
    <w:rsid w:val="002977CB"/>
    <w:rsid w:val="002A3582"/>
    <w:rsid w:val="002A39E7"/>
    <w:rsid w:val="002A530C"/>
    <w:rsid w:val="002B1E29"/>
    <w:rsid w:val="002B5A69"/>
    <w:rsid w:val="002B76CD"/>
    <w:rsid w:val="002C0E8C"/>
    <w:rsid w:val="002C3FF4"/>
    <w:rsid w:val="002C620F"/>
    <w:rsid w:val="002D094D"/>
    <w:rsid w:val="002D38FB"/>
    <w:rsid w:val="002D65CE"/>
    <w:rsid w:val="002D7512"/>
    <w:rsid w:val="002D7E13"/>
    <w:rsid w:val="002E1A18"/>
    <w:rsid w:val="002E1D2D"/>
    <w:rsid w:val="002E3EB3"/>
    <w:rsid w:val="002F6354"/>
    <w:rsid w:val="00301E5C"/>
    <w:rsid w:val="00303694"/>
    <w:rsid w:val="003062F9"/>
    <w:rsid w:val="00306B55"/>
    <w:rsid w:val="00314952"/>
    <w:rsid w:val="003178DA"/>
    <w:rsid w:val="00317AB8"/>
    <w:rsid w:val="00323E85"/>
    <w:rsid w:val="00327E6E"/>
    <w:rsid w:val="00330679"/>
    <w:rsid w:val="0033074A"/>
    <w:rsid w:val="00333DD5"/>
    <w:rsid w:val="003348B5"/>
    <w:rsid w:val="00335254"/>
    <w:rsid w:val="0033759C"/>
    <w:rsid w:val="0034117B"/>
    <w:rsid w:val="00346F66"/>
    <w:rsid w:val="00347A80"/>
    <w:rsid w:val="00347C16"/>
    <w:rsid w:val="00347D22"/>
    <w:rsid w:val="003522DE"/>
    <w:rsid w:val="00353868"/>
    <w:rsid w:val="00363C1F"/>
    <w:rsid w:val="003700B4"/>
    <w:rsid w:val="00370C1A"/>
    <w:rsid w:val="00383F10"/>
    <w:rsid w:val="0038428A"/>
    <w:rsid w:val="0038432C"/>
    <w:rsid w:val="00392B3F"/>
    <w:rsid w:val="00394ECB"/>
    <w:rsid w:val="00397715"/>
    <w:rsid w:val="003A03A2"/>
    <w:rsid w:val="003A2A5D"/>
    <w:rsid w:val="003A634E"/>
    <w:rsid w:val="003B09B8"/>
    <w:rsid w:val="003B3D53"/>
    <w:rsid w:val="003B527A"/>
    <w:rsid w:val="003C05D2"/>
    <w:rsid w:val="003C50C8"/>
    <w:rsid w:val="003C5493"/>
    <w:rsid w:val="003D31FF"/>
    <w:rsid w:val="003D3396"/>
    <w:rsid w:val="003D35B8"/>
    <w:rsid w:val="003D3D4D"/>
    <w:rsid w:val="003D4B18"/>
    <w:rsid w:val="003D5789"/>
    <w:rsid w:val="003E110E"/>
    <w:rsid w:val="003E7F8B"/>
    <w:rsid w:val="003F0179"/>
    <w:rsid w:val="003F269F"/>
    <w:rsid w:val="003F690C"/>
    <w:rsid w:val="004041C3"/>
    <w:rsid w:val="00406BB9"/>
    <w:rsid w:val="004129BB"/>
    <w:rsid w:val="00414EB9"/>
    <w:rsid w:val="00422995"/>
    <w:rsid w:val="004229A2"/>
    <w:rsid w:val="00424A1B"/>
    <w:rsid w:val="00434332"/>
    <w:rsid w:val="004355B0"/>
    <w:rsid w:val="00436EC7"/>
    <w:rsid w:val="00445BC6"/>
    <w:rsid w:val="0044643D"/>
    <w:rsid w:val="00446CFE"/>
    <w:rsid w:val="00450553"/>
    <w:rsid w:val="00452695"/>
    <w:rsid w:val="004538C7"/>
    <w:rsid w:val="00460EE3"/>
    <w:rsid w:val="00461859"/>
    <w:rsid w:val="004670CD"/>
    <w:rsid w:val="00482851"/>
    <w:rsid w:val="00490826"/>
    <w:rsid w:val="0049091C"/>
    <w:rsid w:val="00492875"/>
    <w:rsid w:val="00497951"/>
    <w:rsid w:val="004A4CD7"/>
    <w:rsid w:val="004A52D0"/>
    <w:rsid w:val="004B3A99"/>
    <w:rsid w:val="004B40D5"/>
    <w:rsid w:val="004B4683"/>
    <w:rsid w:val="004B62D8"/>
    <w:rsid w:val="004B6665"/>
    <w:rsid w:val="004B7BDE"/>
    <w:rsid w:val="004C00F2"/>
    <w:rsid w:val="004C1516"/>
    <w:rsid w:val="004C17E4"/>
    <w:rsid w:val="004C2254"/>
    <w:rsid w:val="004C43AA"/>
    <w:rsid w:val="004C4A4A"/>
    <w:rsid w:val="004C5C2F"/>
    <w:rsid w:val="004D0B7B"/>
    <w:rsid w:val="004D1957"/>
    <w:rsid w:val="004D3BE7"/>
    <w:rsid w:val="004D73A8"/>
    <w:rsid w:val="004D7F22"/>
    <w:rsid w:val="004E2A99"/>
    <w:rsid w:val="004E662B"/>
    <w:rsid w:val="004F2CCD"/>
    <w:rsid w:val="004F4A32"/>
    <w:rsid w:val="004F4BBF"/>
    <w:rsid w:val="004F5DEB"/>
    <w:rsid w:val="004F6616"/>
    <w:rsid w:val="004F7245"/>
    <w:rsid w:val="005035F2"/>
    <w:rsid w:val="00507E7F"/>
    <w:rsid w:val="005121DD"/>
    <w:rsid w:val="005124A2"/>
    <w:rsid w:val="005125E8"/>
    <w:rsid w:val="00512BE6"/>
    <w:rsid w:val="00513153"/>
    <w:rsid w:val="00516855"/>
    <w:rsid w:val="00523EDD"/>
    <w:rsid w:val="0052487A"/>
    <w:rsid w:val="00535042"/>
    <w:rsid w:val="005363E2"/>
    <w:rsid w:val="00540C62"/>
    <w:rsid w:val="005431DB"/>
    <w:rsid w:val="005504CB"/>
    <w:rsid w:val="00550881"/>
    <w:rsid w:val="00550C66"/>
    <w:rsid w:val="00555B73"/>
    <w:rsid w:val="0056045D"/>
    <w:rsid w:val="005613E8"/>
    <w:rsid w:val="0056251C"/>
    <w:rsid w:val="0056466D"/>
    <w:rsid w:val="00565242"/>
    <w:rsid w:val="005679DE"/>
    <w:rsid w:val="00576FE2"/>
    <w:rsid w:val="00581314"/>
    <w:rsid w:val="005818BA"/>
    <w:rsid w:val="00583605"/>
    <w:rsid w:val="0058385D"/>
    <w:rsid w:val="00584261"/>
    <w:rsid w:val="00586F49"/>
    <w:rsid w:val="00592968"/>
    <w:rsid w:val="00592A31"/>
    <w:rsid w:val="005A0B0E"/>
    <w:rsid w:val="005A11AD"/>
    <w:rsid w:val="005A1875"/>
    <w:rsid w:val="005A29BF"/>
    <w:rsid w:val="005A4C43"/>
    <w:rsid w:val="005A539B"/>
    <w:rsid w:val="005A56BE"/>
    <w:rsid w:val="005A655B"/>
    <w:rsid w:val="005B09A1"/>
    <w:rsid w:val="005B13FC"/>
    <w:rsid w:val="005B1478"/>
    <w:rsid w:val="005B17C6"/>
    <w:rsid w:val="005B374A"/>
    <w:rsid w:val="005B3FCF"/>
    <w:rsid w:val="005B568D"/>
    <w:rsid w:val="005D03EC"/>
    <w:rsid w:val="005D07DD"/>
    <w:rsid w:val="005D2158"/>
    <w:rsid w:val="005D3BD9"/>
    <w:rsid w:val="005D7061"/>
    <w:rsid w:val="005D7656"/>
    <w:rsid w:val="005E051A"/>
    <w:rsid w:val="005E3523"/>
    <w:rsid w:val="005E3FAE"/>
    <w:rsid w:val="005E5266"/>
    <w:rsid w:val="005E5B83"/>
    <w:rsid w:val="005E6D9C"/>
    <w:rsid w:val="005F6D43"/>
    <w:rsid w:val="005F70F2"/>
    <w:rsid w:val="00602955"/>
    <w:rsid w:val="00605C2F"/>
    <w:rsid w:val="00606B4E"/>
    <w:rsid w:val="00606C2F"/>
    <w:rsid w:val="00610748"/>
    <w:rsid w:val="00612703"/>
    <w:rsid w:val="00613392"/>
    <w:rsid w:val="006150D4"/>
    <w:rsid w:val="006151C6"/>
    <w:rsid w:val="00623152"/>
    <w:rsid w:val="00623175"/>
    <w:rsid w:val="00623407"/>
    <w:rsid w:val="006255A9"/>
    <w:rsid w:val="00627226"/>
    <w:rsid w:val="00627628"/>
    <w:rsid w:val="00627AA4"/>
    <w:rsid w:val="00636261"/>
    <w:rsid w:val="00636A89"/>
    <w:rsid w:val="0063783E"/>
    <w:rsid w:val="00650A3F"/>
    <w:rsid w:val="006525EF"/>
    <w:rsid w:val="006529D0"/>
    <w:rsid w:val="006613A1"/>
    <w:rsid w:val="006625F4"/>
    <w:rsid w:val="00665737"/>
    <w:rsid w:val="006707EF"/>
    <w:rsid w:val="006713C3"/>
    <w:rsid w:val="00671A1B"/>
    <w:rsid w:val="006766F7"/>
    <w:rsid w:val="00676DB6"/>
    <w:rsid w:val="00676F95"/>
    <w:rsid w:val="006777B5"/>
    <w:rsid w:val="00680BF9"/>
    <w:rsid w:val="00680D3C"/>
    <w:rsid w:val="00683451"/>
    <w:rsid w:val="00687CC3"/>
    <w:rsid w:val="00690191"/>
    <w:rsid w:val="00690608"/>
    <w:rsid w:val="00691AD7"/>
    <w:rsid w:val="00693107"/>
    <w:rsid w:val="0069316B"/>
    <w:rsid w:val="006948C4"/>
    <w:rsid w:val="00696B97"/>
    <w:rsid w:val="0069712F"/>
    <w:rsid w:val="006A2719"/>
    <w:rsid w:val="006A3CD0"/>
    <w:rsid w:val="006A446C"/>
    <w:rsid w:val="006A66C4"/>
    <w:rsid w:val="006A6788"/>
    <w:rsid w:val="006B2AA2"/>
    <w:rsid w:val="006B300E"/>
    <w:rsid w:val="006B32EA"/>
    <w:rsid w:val="006B4ECF"/>
    <w:rsid w:val="006B5349"/>
    <w:rsid w:val="006B6B3F"/>
    <w:rsid w:val="006C3852"/>
    <w:rsid w:val="006C4B26"/>
    <w:rsid w:val="006D41F3"/>
    <w:rsid w:val="006F063F"/>
    <w:rsid w:val="006F0AF8"/>
    <w:rsid w:val="006F461E"/>
    <w:rsid w:val="00701AF0"/>
    <w:rsid w:val="00701DBA"/>
    <w:rsid w:val="007042D1"/>
    <w:rsid w:val="00705FB9"/>
    <w:rsid w:val="007069F2"/>
    <w:rsid w:val="00707526"/>
    <w:rsid w:val="0071172F"/>
    <w:rsid w:val="00711C67"/>
    <w:rsid w:val="0071361A"/>
    <w:rsid w:val="00717F98"/>
    <w:rsid w:val="00721384"/>
    <w:rsid w:val="007227C1"/>
    <w:rsid w:val="0072341D"/>
    <w:rsid w:val="007235B6"/>
    <w:rsid w:val="00724BED"/>
    <w:rsid w:val="00726020"/>
    <w:rsid w:val="0073022F"/>
    <w:rsid w:val="0073103D"/>
    <w:rsid w:val="00731CB2"/>
    <w:rsid w:val="007354B3"/>
    <w:rsid w:val="0073756F"/>
    <w:rsid w:val="00740C39"/>
    <w:rsid w:val="00746877"/>
    <w:rsid w:val="007529B6"/>
    <w:rsid w:val="00757059"/>
    <w:rsid w:val="007574A9"/>
    <w:rsid w:val="00757DCB"/>
    <w:rsid w:val="00760423"/>
    <w:rsid w:val="00760FFB"/>
    <w:rsid w:val="00763B5E"/>
    <w:rsid w:val="00771C5F"/>
    <w:rsid w:val="007834A3"/>
    <w:rsid w:val="00786438"/>
    <w:rsid w:val="00787D96"/>
    <w:rsid w:val="007912C6"/>
    <w:rsid w:val="0079214E"/>
    <w:rsid w:val="007923CD"/>
    <w:rsid w:val="007925AD"/>
    <w:rsid w:val="00796D57"/>
    <w:rsid w:val="0079742C"/>
    <w:rsid w:val="00797C98"/>
    <w:rsid w:val="007A1A92"/>
    <w:rsid w:val="007A279C"/>
    <w:rsid w:val="007A2870"/>
    <w:rsid w:val="007A6250"/>
    <w:rsid w:val="007A64FF"/>
    <w:rsid w:val="007A6786"/>
    <w:rsid w:val="007A6D70"/>
    <w:rsid w:val="007B1B9C"/>
    <w:rsid w:val="007B1F82"/>
    <w:rsid w:val="007B49A0"/>
    <w:rsid w:val="007B4BF1"/>
    <w:rsid w:val="007B66CB"/>
    <w:rsid w:val="007B69F7"/>
    <w:rsid w:val="007C227D"/>
    <w:rsid w:val="007C2A0E"/>
    <w:rsid w:val="007C32E5"/>
    <w:rsid w:val="007C5DC0"/>
    <w:rsid w:val="007C68CE"/>
    <w:rsid w:val="007D183C"/>
    <w:rsid w:val="007D317C"/>
    <w:rsid w:val="007D5A84"/>
    <w:rsid w:val="007F124D"/>
    <w:rsid w:val="00800242"/>
    <w:rsid w:val="00801C16"/>
    <w:rsid w:val="00802046"/>
    <w:rsid w:val="00802B43"/>
    <w:rsid w:val="008048A3"/>
    <w:rsid w:val="00807948"/>
    <w:rsid w:val="00807C20"/>
    <w:rsid w:val="008101F9"/>
    <w:rsid w:val="00811AAE"/>
    <w:rsid w:val="00816854"/>
    <w:rsid w:val="00820410"/>
    <w:rsid w:val="00823010"/>
    <w:rsid w:val="00823A62"/>
    <w:rsid w:val="00825331"/>
    <w:rsid w:val="008353F4"/>
    <w:rsid w:val="00836F13"/>
    <w:rsid w:val="00837EC5"/>
    <w:rsid w:val="00845141"/>
    <w:rsid w:val="00845A17"/>
    <w:rsid w:val="00845A51"/>
    <w:rsid w:val="00851A77"/>
    <w:rsid w:val="008533EC"/>
    <w:rsid w:val="0085547E"/>
    <w:rsid w:val="008577DE"/>
    <w:rsid w:val="008618BD"/>
    <w:rsid w:val="00865BB9"/>
    <w:rsid w:val="00866178"/>
    <w:rsid w:val="00867566"/>
    <w:rsid w:val="008702AE"/>
    <w:rsid w:val="008711D7"/>
    <w:rsid w:val="00883F00"/>
    <w:rsid w:val="00884A78"/>
    <w:rsid w:val="008863C5"/>
    <w:rsid w:val="00890397"/>
    <w:rsid w:val="00890F92"/>
    <w:rsid w:val="00892F3F"/>
    <w:rsid w:val="0089701D"/>
    <w:rsid w:val="008A00E6"/>
    <w:rsid w:val="008A2077"/>
    <w:rsid w:val="008A71BA"/>
    <w:rsid w:val="008B02AA"/>
    <w:rsid w:val="008B1031"/>
    <w:rsid w:val="008B1394"/>
    <w:rsid w:val="008B56CB"/>
    <w:rsid w:val="008C147F"/>
    <w:rsid w:val="008C1EBC"/>
    <w:rsid w:val="008C222B"/>
    <w:rsid w:val="008C7EFB"/>
    <w:rsid w:val="008D1835"/>
    <w:rsid w:val="008D312F"/>
    <w:rsid w:val="008D3942"/>
    <w:rsid w:val="008D741C"/>
    <w:rsid w:val="008E2A5D"/>
    <w:rsid w:val="008E3F98"/>
    <w:rsid w:val="008E768D"/>
    <w:rsid w:val="008F16BA"/>
    <w:rsid w:val="008F18FA"/>
    <w:rsid w:val="008F6B80"/>
    <w:rsid w:val="00901EB4"/>
    <w:rsid w:val="0091026E"/>
    <w:rsid w:val="009105E0"/>
    <w:rsid w:val="00910B55"/>
    <w:rsid w:val="009112C2"/>
    <w:rsid w:val="0091147D"/>
    <w:rsid w:val="009162DB"/>
    <w:rsid w:val="0091654E"/>
    <w:rsid w:val="00920C53"/>
    <w:rsid w:val="00924277"/>
    <w:rsid w:val="00924DEF"/>
    <w:rsid w:val="00926C7E"/>
    <w:rsid w:val="00927E36"/>
    <w:rsid w:val="00931FB6"/>
    <w:rsid w:val="009355FF"/>
    <w:rsid w:val="00935F3B"/>
    <w:rsid w:val="00936FEB"/>
    <w:rsid w:val="0093712F"/>
    <w:rsid w:val="00947D4E"/>
    <w:rsid w:val="00950E6F"/>
    <w:rsid w:val="0095582C"/>
    <w:rsid w:val="00955BCC"/>
    <w:rsid w:val="00956C54"/>
    <w:rsid w:val="009571DE"/>
    <w:rsid w:val="00960048"/>
    <w:rsid w:val="00962702"/>
    <w:rsid w:val="00962DDF"/>
    <w:rsid w:val="00964196"/>
    <w:rsid w:val="009713A9"/>
    <w:rsid w:val="00971F2D"/>
    <w:rsid w:val="009747ED"/>
    <w:rsid w:val="00974EB7"/>
    <w:rsid w:val="009804A0"/>
    <w:rsid w:val="00981290"/>
    <w:rsid w:val="0098757D"/>
    <w:rsid w:val="009924CA"/>
    <w:rsid w:val="0099579E"/>
    <w:rsid w:val="009A0E52"/>
    <w:rsid w:val="009A627E"/>
    <w:rsid w:val="009A6453"/>
    <w:rsid w:val="009B127C"/>
    <w:rsid w:val="009C2176"/>
    <w:rsid w:val="009C44AE"/>
    <w:rsid w:val="009C451B"/>
    <w:rsid w:val="009C5285"/>
    <w:rsid w:val="009C64AB"/>
    <w:rsid w:val="009C7E78"/>
    <w:rsid w:val="009D1358"/>
    <w:rsid w:val="009D21E3"/>
    <w:rsid w:val="009D2D2D"/>
    <w:rsid w:val="009D4C61"/>
    <w:rsid w:val="009D52A4"/>
    <w:rsid w:val="009E3BDA"/>
    <w:rsid w:val="009E54DC"/>
    <w:rsid w:val="009E6846"/>
    <w:rsid w:val="009F2255"/>
    <w:rsid w:val="009F50F8"/>
    <w:rsid w:val="009F5C98"/>
    <w:rsid w:val="009F7C67"/>
    <w:rsid w:val="00A0236F"/>
    <w:rsid w:val="00A02FA5"/>
    <w:rsid w:val="00A030D2"/>
    <w:rsid w:val="00A04174"/>
    <w:rsid w:val="00A05D13"/>
    <w:rsid w:val="00A065EF"/>
    <w:rsid w:val="00A0733B"/>
    <w:rsid w:val="00A132AB"/>
    <w:rsid w:val="00A14193"/>
    <w:rsid w:val="00A1467B"/>
    <w:rsid w:val="00A17B66"/>
    <w:rsid w:val="00A26BC6"/>
    <w:rsid w:val="00A3217C"/>
    <w:rsid w:val="00A37F97"/>
    <w:rsid w:val="00A409B8"/>
    <w:rsid w:val="00A413D1"/>
    <w:rsid w:val="00A41A2D"/>
    <w:rsid w:val="00A50079"/>
    <w:rsid w:val="00A50286"/>
    <w:rsid w:val="00A51748"/>
    <w:rsid w:val="00A52D2B"/>
    <w:rsid w:val="00A52EF1"/>
    <w:rsid w:val="00A55A20"/>
    <w:rsid w:val="00A57923"/>
    <w:rsid w:val="00A660DE"/>
    <w:rsid w:val="00A672B1"/>
    <w:rsid w:val="00A70E51"/>
    <w:rsid w:val="00A71D2A"/>
    <w:rsid w:val="00A7395A"/>
    <w:rsid w:val="00A74709"/>
    <w:rsid w:val="00A7799E"/>
    <w:rsid w:val="00A922EC"/>
    <w:rsid w:val="00A930DD"/>
    <w:rsid w:val="00A97629"/>
    <w:rsid w:val="00AA02DA"/>
    <w:rsid w:val="00AA497E"/>
    <w:rsid w:val="00AA5771"/>
    <w:rsid w:val="00AA7374"/>
    <w:rsid w:val="00AB1E46"/>
    <w:rsid w:val="00AC58C8"/>
    <w:rsid w:val="00AD4DD2"/>
    <w:rsid w:val="00AD593E"/>
    <w:rsid w:val="00AD59CA"/>
    <w:rsid w:val="00AD65E8"/>
    <w:rsid w:val="00AE058A"/>
    <w:rsid w:val="00AE1315"/>
    <w:rsid w:val="00AE1319"/>
    <w:rsid w:val="00AE3C6E"/>
    <w:rsid w:val="00AF25EE"/>
    <w:rsid w:val="00AF2826"/>
    <w:rsid w:val="00AF2846"/>
    <w:rsid w:val="00AF4883"/>
    <w:rsid w:val="00AF5F58"/>
    <w:rsid w:val="00AF6082"/>
    <w:rsid w:val="00AF6CC3"/>
    <w:rsid w:val="00AF73C9"/>
    <w:rsid w:val="00B044E9"/>
    <w:rsid w:val="00B10C53"/>
    <w:rsid w:val="00B12D5A"/>
    <w:rsid w:val="00B167DB"/>
    <w:rsid w:val="00B17308"/>
    <w:rsid w:val="00B2053D"/>
    <w:rsid w:val="00B2202F"/>
    <w:rsid w:val="00B24281"/>
    <w:rsid w:val="00B36896"/>
    <w:rsid w:val="00B37FC2"/>
    <w:rsid w:val="00B43728"/>
    <w:rsid w:val="00B4418F"/>
    <w:rsid w:val="00B47751"/>
    <w:rsid w:val="00B51E61"/>
    <w:rsid w:val="00B5391E"/>
    <w:rsid w:val="00B54C74"/>
    <w:rsid w:val="00B554F4"/>
    <w:rsid w:val="00B56B69"/>
    <w:rsid w:val="00B575BA"/>
    <w:rsid w:val="00B57F0D"/>
    <w:rsid w:val="00B61C63"/>
    <w:rsid w:val="00B640C2"/>
    <w:rsid w:val="00B64713"/>
    <w:rsid w:val="00B65691"/>
    <w:rsid w:val="00B67E52"/>
    <w:rsid w:val="00B70654"/>
    <w:rsid w:val="00B72348"/>
    <w:rsid w:val="00B72B18"/>
    <w:rsid w:val="00B750D9"/>
    <w:rsid w:val="00B7538D"/>
    <w:rsid w:val="00B77AC5"/>
    <w:rsid w:val="00B87A8B"/>
    <w:rsid w:val="00B938A3"/>
    <w:rsid w:val="00B93E9B"/>
    <w:rsid w:val="00B94AAF"/>
    <w:rsid w:val="00B97C4F"/>
    <w:rsid w:val="00BA4C00"/>
    <w:rsid w:val="00BA794E"/>
    <w:rsid w:val="00BA7BD5"/>
    <w:rsid w:val="00BB2426"/>
    <w:rsid w:val="00BB29A3"/>
    <w:rsid w:val="00BB30BD"/>
    <w:rsid w:val="00BB3544"/>
    <w:rsid w:val="00BB5DEC"/>
    <w:rsid w:val="00BB7E5E"/>
    <w:rsid w:val="00BC2A29"/>
    <w:rsid w:val="00BC3DEA"/>
    <w:rsid w:val="00BD03F4"/>
    <w:rsid w:val="00BD0877"/>
    <w:rsid w:val="00BD233F"/>
    <w:rsid w:val="00BD3C9C"/>
    <w:rsid w:val="00BD5205"/>
    <w:rsid w:val="00BD752F"/>
    <w:rsid w:val="00BE2C4E"/>
    <w:rsid w:val="00BE4CDB"/>
    <w:rsid w:val="00C015B9"/>
    <w:rsid w:val="00C03577"/>
    <w:rsid w:val="00C05019"/>
    <w:rsid w:val="00C075DA"/>
    <w:rsid w:val="00C07E71"/>
    <w:rsid w:val="00C07FC5"/>
    <w:rsid w:val="00C10E09"/>
    <w:rsid w:val="00C12647"/>
    <w:rsid w:val="00C15BAA"/>
    <w:rsid w:val="00C2112E"/>
    <w:rsid w:val="00C246BB"/>
    <w:rsid w:val="00C27E37"/>
    <w:rsid w:val="00C32FC3"/>
    <w:rsid w:val="00C356DB"/>
    <w:rsid w:val="00C3596B"/>
    <w:rsid w:val="00C37C8F"/>
    <w:rsid w:val="00C42631"/>
    <w:rsid w:val="00C4391A"/>
    <w:rsid w:val="00C43DE0"/>
    <w:rsid w:val="00C44FCA"/>
    <w:rsid w:val="00C45344"/>
    <w:rsid w:val="00C458D0"/>
    <w:rsid w:val="00C5035F"/>
    <w:rsid w:val="00C517A2"/>
    <w:rsid w:val="00C528FC"/>
    <w:rsid w:val="00C55957"/>
    <w:rsid w:val="00C55E35"/>
    <w:rsid w:val="00C62505"/>
    <w:rsid w:val="00C66B06"/>
    <w:rsid w:val="00C74465"/>
    <w:rsid w:val="00C745D3"/>
    <w:rsid w:val="00C76386"/>
    <w:rsid w:val="00C8095E"/>
    <w:rsid w:val="00C81B3F"/>
    <w:rsid w:val="00C82397"/>
    <w:rsid w:val="00C8293F"/>
    <w:rsid w:val="00C859FC"/>
    <w:rsid w:val="00C90BE6"/>
    <w:rsid w:val="00C90D93"/>
    <w:rsid w:val="00C91087"/>
    <w:rsid w:val="00C9328F"/>
    <w:rsid w:val="00C9403A"/>
    <w:rsid w:val="00C9408E"/>
    <w:rsid w:val="00CA0AD3"/>
    <w:rsid w:val="00CA3D0F"/>
    <w:rsid w:val="00CA63F7"/>
    <w:rsid w:val="00CA73EB"/>
    <w:rsid w:val="00CA7D24"/>
    <w:rsid w:val="00CB45BC"/>
    <w:rsid w:val="00CB465A"/>
    <w:rsid w:val="00CB4C4A"/>
    <w:rsid w:val="00CC4228"/>
    <w:rsid w:val="00CC5FCA"/>
    <w:rsid w:val="00CC5FED"/>
    <w:rsid w:val="00CC6D0B"/>
    <w:rsid w:val="00CD04A2"/>
    <w:rsid w:val="00CD1A98"/>
    <w:rsid w:val="00CD3756"/>
    <w:rsid w:val="00CD4850"/>
    <w:rsid w:val="00CD4FE3"/>
    <w:rsid w:val="00CD61D1"/>
    <w:rsid w:val="00CD7238"/>
    <w:rsid w:val="00CE0C7C"/>
    <w:rsid w:val="00CE10D9"/>
    <w:rsid w:val="00CE2952"/>
    <w:rsid w:val="00CE3401"/>
    <w:rsid w:val="00CE50A8"/>
    <w:rsid w:val="00CE7574"/>
    <w:rsid w:val="00CF3A70"/>
    <w:rsid w:val="00CF4E7D"/>
    <w:rsid w:val="00D05512"/>
    <w:rsid w:val="00D10FE3"/>
    <w:rsid w:val="00D14BD4"/>
    <w:rsid w:val="00D17992"/>
    <w:rsid w:val="00D27354"/>
    <w:rsid w:val="00D3391E"/>
    <w:rsid w:val="00D37A8F"/>
    <w:rsid w:val="00D41DDB"/>
    <w:rsid w:val="00D425B0"/>
    <w:rsid w:val="00D45758"/>
    <w:rsid w:val="00D5308A"/>
    <w:rsid w:val="00D54A72"/>
    <w:rsid w:val="00D57E64"/>
    <w:rsid w:val="00D60040"/>
    <w:rsid w:val="00D61D09"/>
    <w:rsid w:val="00D669FD"/>
    <w:rsid w:val="00D67268"/>
    <w:rsid w:val="00D712C0"/>
    <w:rsid w:val="00D716B5"/>
    <w:rsid w:val="00D71D6F"/>
    <w:rsid w:val="00D71DED"/>
    <w:rsid w:val="00D743DF"/>
    <w:rsid w:val="00D74C50"/>
    <w:rsid w:val="00D775D1"/>
    <w:rsid w:val="00D81F19"/>
    <w:rsid w:val="00D84F88"/>
    <w:rsid w:val="00D93DFE"/>
    <w:rsid w:val="00D94EA3"/>
    <w:rsid w:val="00D95D2C"/>
    <w:rsid w:val="00D96C92"/>
    <w:rsid w:val="00D96DFB"/>
    <w:rsid w:val="00D971BF"/>
    <w:rsid w:val="00DA2285"/>
    <w:rsid w:val="00DA270A"/>
    <w:rsid w:val="00DA3F16"/>
    <w:rsid w:val="00DA5C22"/>
    <w:rsid w:val="00DA62A0"/>
    <w:rsid w:val="00DB37D5"/>
    <w:rsid w:val="00DB3D9E"/>
    <w:rsid w:val="00DB597A"/>
    <w:rsid w:val="00DC1425"/>
    <w:rsid w:val="00DC1637"/>
    <w:rsid w:val="00DC5A21"/>
    <w:rsid w:val="00DD0960"/>
    <w:rsid w:val="00DD1BB8"/>
    <w:rsid w:val="00DD6736"/>
    <w:rsid w:val="00DE1F8A"/>
    <w:rsid w:val="00DF1325"/>
    <w:rsid w:val="00DF3151"/>
    <w:rsid w:val="00DF43B0"/>
    <w:rsid w:val="00DF7B4E"/>
    <w:rsid w:val="00E01A06"/>
    <w:rsid w:val="00E02A80"/>
    <w:rsid w:val="00E03897"/>
    <w:rsid w:val="00E05DAF"/>
    <w:rsid w:val="00E10A52"/>
    <w:rsid w:val="00E14D00"/>
    <w:rsid w:val="00E1707D"/>
    <w:rsid w:val="00E17672"/>
    <w:rsid w:val="00E227BC"/>
    <w:rsid w:val="00E22FAA"/>
    <w:rsid w:val="00E23F34"/>
    <w:rsid w:val="00E25038"/>
    <w:rsid w:val="00E36E59"/>
    <w:rsid w:val="00E4121C"/>
    <w:rsid w:val="00E420A8"/>
    <w:rsid w:val="00E4257A"/>
    <w:rsid w:val="00E437EC"/>
    <w:rsid w:val="00E43E96"/>
    <w:rsid w:val="00E45D1D"/>
    <w:rsid w:val="00E477D3"/>
    <w:rsid w:val="00E5189C"/>
    <w:rsid w:val="00E521AB"/>
    <w:rsid w:val="00E533A4"/>
    <w:rsid w:val="00E56266"/>
    <w:rsid w:val="00E56482"/>
    <w:rsid w:val="00E56CCE"/>
    <w:rsid w:val="00E63BF1"/>
    <w:rsid w:val="00E7254B"/>
    <w:rsid w:val="00E72F6E"/>
    <w:rsid w:val="00E73191"/>
    <w:rsid w:val="00E73861"/>
    <w:rsid w:val="00E753C4"/>
    <w:rsid w:val="00E82897"/>
    <w:rsid w:val="00E84DEC"/>
    <w:rsid w:val="00E86CF1"/>
    <w:rsid w:val="00E939AD"/>
    <w:rsid w:val="00E94497"/>
    <w:rsid w:val="00E9453B"/>
    <w:rsid w:val="00E9774F"/>
    <w:rsid w:val="00EA1E71"/>
    <w:rsid w:val="00EA210E"/>
    <w:rsid w:val="00EB1387"/>
    <w:rsid w:val="00EB1CE7"/>
    <w:rsid w:val="00EB34D3"/>
    <w:rsid w:val="00EC217C"/>
    <w:rsid w:val="00EC2AFD"/>
    <w:rsid w:val="00EC35F9"/>
    <w:rsid w:val="00EC40BB"/>
    <w:rsid w:val="00EC4C5D"/>
    <w:rsid w:val="00EC68B5"/>
    <w:rsid w:val="00ED22A7"/>
    <w:rsid w:val="00ED2DA1"/>
    <w:rsid w:val="00EE0632"/>
    <w:rsid w:val="00EE0F20"/>
    <w:rsid w:val="00EE1BE4"/>
    <w:rsid w:val="00EE3C61"/>
    <w:rsid w:val="00EE48FC"/>
    <w:rsid w:val="00EF0564"/>
    <w:rsid w:val="00EF1D52"/>
    <w:rsid w:val="00EF367A"/>
    <w:rsid w:val="00EF6EED"/>
    <w:rsid w:val="00F13CC3"/>
    <w:rsid w:val="00F149D1"/>
    <w:rsid w:val="00F16A9F"/>
    <w:rsid w:val="00F17C49"/>
    <w:rsid w:val="00F2106A"/>
    <w:rsid w:val="00F21161"/>
    <w:rsid w:val="00F2207D"/>
    <w:rsid w:val="00F23549"/>
    <w:rsid w:val="00F25081"/>
    <w:rsid w:val="00F27849"/>
    <w:rsid w:val="00F3376D"/>
    <w:rsid w:val="00F358DE"/>
    <w:rsid w:val="00F37946"/>
    <w:rsid w:val="00F410CF"/>
    <w:rsid w:val="00F464DE"/>
    <w:rsid w:val="00F46A6A"/>
    <w:rsid w:val="00F53042"/>
    <w:rsid w:val="00F56684"/>
    <w:rsid w:val="00F5745D"/>
    <w:rsid w:val="00F60D87"/>
    <w:rsid w:val="00F67599"/>
    <w:rsid w:val="00F7009A"/>
    <w:rsid w:val="00F71B65"/>
    <w:rsid w:val="00F74E04"/>
    <w:rsid w:val="00F776D6"/>
    <w:rsid w:val="00F77F57"/>
    <w:rsid w:val="00F84F59"/>
    <w:rsid w:val="00F911D8"/>
    <w:rsid w:val="00F92258"/>
    <w:rsid w:val="00F92413"/>
    <w:rsid w:val="00F93C34"/>
    <w:rsid w:val="00F94BFB"/>
    <w:rsid w:val="00F977D4"/>
    <w:rsid w:val="00FA1329"/>
    <w:rsid w:val="00FA699E"/>
    <w:rsid w:val="00FB12C0"/>
    <w:rsid w:val="00FB1C07"/>
    <w:rsid w:val="00FB256F"/>
    <w:rsid w:val="00FB5E42"/>
    <w:rsid w:val="00FC31D2"/>
    <w:rsid w:val="00FC49CF"/>
    <w:rsid w:val="00FD1E13"/>
    <w:rsid w:val="00FD33F9"/>
    <w:rsid w:val="00FD344C"/>
    <w:rsid w:val="00FD6FF9"/>
    <w:rsid w:val="00FE1138"/>
    <w:rsid w:val="00FE40ED"/>
    <w:rsid w:val="00FE78CF"/>
    <w:rsid w:val="00FF3074"/>
    <w:rsid w:val="00FF4C3A"/>
    <w:rsid w:val="00FF6CC0"/>
    <w:rsid w:val="00FF75B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AACCC"/>
  <w15:docId w15:val="{DEFAC7A8-B428-4E9F-ADC1-99771AC2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44E9"/>
  </w:style>
  <w:style w:type="paragraph" w:styleId="Titolo1">
    <w:name w:val="heading 1"/>
    <w:basedOn w:val="Normale"/>
    <w:next w:val="Normale"/>
    <w:link w:val="Titolo1Carattere"/>
    <w:qFormat/>
    <w:rsid w:val="00513153"/>
    <w:pPr>
      <w:keepNext/>
      <w:ind w:right="-71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13153"/>
    <w:pPr>
      <w:keepNext/>
      <w:tabs>
        <w:tab w:val="left" w:pos="8931"/>
      </w:tabs>
      <w:ind w:right="282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13153"/>
    <w:pPr>
      <w:keepNext/>
      <w:tabs>
        <w:tab w:val="left" w:pos="8931"/>
      </w:tabs>
      <w:ind w:right="282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3153"/>
    <w:pPr>
      <w:keepNext/>
      <w:tabs>
        <w:tab w:val="left" w:pos="8931"/>
      </w:tabs>
      <w:ind w:right="28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1315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13153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13153"/>
    <w:pPr>
      <w:keepNext/>
      <w:jc w:val="right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513153"/>
    <w:pPr>
      <w:keepNext/>
      <w:tabs>
        <w:tab w:val="left" w:pos="8931"/>
      </w:tabs>
      <w:ind w:right="282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513153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153"/>
    <w:pPr>
      <w:ind w:right="-71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513153"/>
    <w:pPr>
      <w:tabs>
        <w:tab w:val="left" w:pos="8931"/>
      </w:tabs>
      <w:ind w:right="282"/>
    </w:pPr>
    <w:rPr>
      <w:sz w:val="24"/>
    </w:rPr>
  </w:style>
  <w:style w:type="paragraph" w:styleId="Corpodeltesto3">
    <w:name w:val="Body Text 3"/>
    <w:basedOn w:val="Normale"/>
    <w:rsid w:val="00513153"/>
    <w:pPr>
      <w:tabs>
        <w:tab w:val="left" w:pos="8931"/>
      </w:tabs>
      <w:ind w:right="282"/>
      <w:jc w:val="both"/>
    </w:pPr>
    <w:rPr>
      <w:sz w:val="24"/>
    </w:rPr>
  </w:style>
  <w:style w:type="paragraph" w:styleId="Rientrocorpodeltesto">
    <w:name w:val="Body Text Indent"/>
    <w:basedOn w:val="Normale"/>
    <w:rsid w:val="00513153"/>
    <w:pPr>
      <w:ind w:left="1276" w:hanging="1276"/>
    </w:pPr>
    <w:rPr>
      <w:sz w:val="24"/>
    </w:rPr>
  </w:style>
  <w:style w:type="paragraph" w:styleId="Pidipagina">
    <w:name w:val="footer"/>
    <w:basedOn w:val="Normale"/>
    <w:rsid w:val="00F84F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4F59"/>
  </w:style>
  <w:style w:type="paragraph" w:customStyle="1" w:styleId="Infratesto">
    <w:name w:val="Infratesto"/>
    <w:rsid w:val="00711C67"/>
    <w:pPr>
      <w:tabs>
        <w:tab w:val="left" w:pos="283"/>
        <w:tab w:val="right" w:leader="dot" w:pos="5159"/>
      </w:tabs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paragraph" w:styleId="Testofumetto">
    <w:name w:val="Balloon Text"/>
    <w:basedOn w:val="Normale"/>
    <w:semiHidden/>
    <w:rsid w:val="004B4683"/>
    <w:rPr>
      <w:rFonts w:ascii="Tahoma" w:hAnsi="Tahoma" w:cs="Tahoma"/>
      <w:sz w:val="16"/>
      <w:szCs w:val="16"/>
    </w:rPr>
  </w:style>
  <w:style w:type="paragraph" w:customStyle="1" w:styleId="TESTO">
    <w:name w:val="TESTO"/>
    <w:uiPriority w:val="99"/>
    <w:rsid w:val="00A55A20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B94AAF"/>
    <w:pPr>
      <w:ind w:left="708"/>
    </w:pPr>
  </w:style>
  <w:style w:type="table" w:styleId="Grigliatabella">
    <w:name w:val="Table Grid"/>
    <w:basedOn w:val="Tabellanormale"/>
    <w:rsid w:val="00D8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D84F88"/>
    <w:rPr>
      <w:b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1360E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60ED"/>
  </w:style>
  <w:style w:type="character" w:styleId="Collegamentoipertestuale">
    <w:name w:val="Hyperlink"/>
    <w:basedOn w:val="Carpredefinitoparagrafo"/>
    <w:rsid w:val="00C356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DD6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736"/>
  </w:style>
  <w:style w:type="character" w:customStyle="1" w:styleId="Titolo1Carattere">
    <w:name w:val="Titolo 1 Carattere"/>
    <w:basedOn w:val="Carpredefinitoparagrafo"/>
    <w:link w:val="Titolo1"/>
    <w:rsid w:val="00820410"/>
    <w:rPr>
      <w:sz w:val="24"/>
    </w:rPr>
  </w:style>
  <w:style w:type="character" w:customStyle="1" w:styleId="Titolo3Carattere">
    <w:name w:val="Titolo 3 Carattere"/>
    <w:link w:val="Titolo3"/>
    <w:rsid w:val="00890F92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081"/>
    <w:rPr>
      <w:sz w:val="24"/>
    </w:rPr>
  </w:style>
  <w:style w:type="character" w:customStyle="1" w:styleId="ParagrafoelencoCarattere">
    <w:name w:val="Paragrafo elenco Carattere"/>
    <w:link w:val="Paragrafoelenco"/>
    <w:uiPriority w:val="34"/>
    <w:rsid w:val="001F71AB"/>
  </w:style>
  <w:style w:type="character" w:styleId="Rimandocommento">
    <w:name w:val="annotation reference"/>
    <w:basedOn w:val="Carpredefinitoparagrafo"/>
    <w:uiPriority w:val="99"/>
    <w:semiHidden/>
    <w:unhideWhenUsed/>
    <w:rsid w:val="00AE05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058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058A"/>
  </w:style>
  <w:style w:type="paragraph" w:styleId="Revisione">
    <w:name w:val="Revision"/>
    <w:hidden/>
    <w:uiPriority w:val="99"/>
    <w:semiHidden/>
    <w:rsid w:val="004A4CD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042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042D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nitori.sportesalut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CC8-0DE6-42A3-A1E4-3B9BD6A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2</cp:revision>
  <cp:lastPrinted>2024-06-14T06:34:00Z</cp:lastPrinted>
  <dcterms:created xsi:type="dcterms:W3CDTF">2024-06-14T06:37:00Z</dcterms:created>
  <dcterms:modified xsi:type="dcterms:W3CDTF">2024-06-14T06:37:00Z</dcterms:modified>
</cp:coreProperties>
</file>